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A68" w:rsidRPr="000072EB" w:rsidRDefault="00ED0A68" w:rsidP="008D5E4B">
      <w:pPr>
        <w:jc w:val="center"/>
        <w:rPr>
          <w:rFonts w:ascii="Arial" w:hAnsi="Arial" w:cs="Arial"/>
          <w:b/>
          <w:bCs/>
          <w:color w:val="000000" w:themeColor="text1"/>
        </w:rPr>
      </w:pPr>
      <w:r w:rsidRPr="000072EB">
        <w:rPr>
          <w:rFonts w:ascii="Arial" w:hAnsi="Arial" w:cs="Arial"/>
          <w:b/>
          <w:bCs/>
          <w:color w:val="000000" w:themeColor="text1"/>
        </w:rPr>
        <w:t>Proyecto de</w:t>
      </w:r>
      <w:r w:rsidR="00E724EE">
        <w:rPr>
          <w:rFonts w:ascii="Arial" w:hAnsi="Arial" w:cs="Arial"/>
          <w:b/>
          <w:bCs/>
          <w:color w:val="000000" w:themeColor="text1"/>
        </w:rPr>
        <w:t xml:space="preserve"> Ley Numero  ____ de 2019 </w:t>
      </w:r>
    </w:p>
    <w:p w:rsidR="00ED0A68" w:rsidRPr="000072EB" w:rsidRDefault="00ED0A68" w:rsidP="00ED0A68">
      <w:pPr>
        <w:jc w:val="center"/>
        <w:rPr>
          <w:rFonts w:ascii="Arial" w:hAnsi="Arial" w:cs="Arial"/>
          <w:b/>
          <w:bCs/>
          <w:color w:val="000000" w:themeColor="text1"/>
        </w:rPr>
      </w:pPr>
    </w:p>
    <w:p w:rsidR="00ED0A68" w:rsidRPr="000072EB" w:rsidRDefault="00ED0A68" w:rsidP="00ED0A68">
      <w:pPr>
        <w:jc w:val="center"/>
        <w:rPr>
          <w:rFonts w:ascii="Arial" w:hAnsi="Arial" w:cs="Arial"/>
          <w:b/>
          <w:bCs/>
          <w:color w:val="000000" w:themeColor="text1"/>
        </w:rPr>
      </w:pPr>
      <w:r w:rsidRPr="000072EB">
        <w:rPr>
          <w:rFonts w:ascii="Arial" w:hAnsi="Arial" w:cs="Arial"/>
          <w:b/>
          <w:bCs/>
          <w:color w:val="000000" w:themeColor="text1"/>
        </w:rPr>
        <w:t>“Por medio de la cual se adoptan medidas en materia de regulación de precios de los combustibles liquidos y se dictan otras disposiciones”</w:t>
      </w:r>
    </w:p>
    <w:p w:rsidR="00ED0A68" w:rsidRPr="000072EB" w:rsidRDefault="00ED0A68" w:rsidP="00ED0A68">
      <w:pPr>
        <w:jc w:val="center"/>
        <w:rPr>
          <w:rFonts w:ascii="Arial" w:hAnsi="Arial" w:cs="Arial"/>
          <w:b/>
          <w:bCs/>
          <w:color w:val="000000" w:themeColor="text1"/>
        </w:rPr>
      </w:pPr>
    </w:p>
    <w:p w:rsidR="00ED0A68" w:rsidRPr="000072EB" w:rsidRDefault="00ED0A68" w:rsidP="00ED0A68">
      <w:pPr>
        <w:jc w:val="both"/>
        <w:rPr>
          <w:rFonts w:ascii="Arial" w:hAnsi="Arial" w:cs="Arial"/>
          <w:b/>
          <w:bCs/>
          <w:color w:val="000000" w:themeColor="text1"/>
        </w:rPr>
      </w:pPr>
    </w:p>
    <w:p w:rsidR="00ED0A68" w:rsidRPr="000072EB" w:rsidRDefault="00ED0A68" w:rsidP="0059755C">
      <w:pPr>
        <w:rPr>
          <w:rFonts w:ascii="Arial" w:hAnsi="Arial" w:cs="Arial"/>
          <w:color w:val="000000" w:themeColor="text1"/>
        </w:rPr>
      </w:pPr>
      <w:r w:rsidRPr="000072EB">
        <w:rPr>
          <w:rFonts w:ascii="Arial" w:hAnsi="Arial" w:cs="Arial"/>
          <w:color w:val="000000" w:themeColor="text1"/>
        </w:rPr>
        <w:t>Bogota DC. 20 de Julio de 2019</w:t>
      </w:r>
    </w:p>
    <w:p w:rsidR="00ED0A68" w:rsidRPr="000072EB" w:rsidRDefault="00ED0A68" w:rsidP="00ED0A68">
      <w:pPr>
        <w:jc w:val="both"/>
        <w:rPr>
          <w:rFonts w:ascii="Arial" w:hAnsi="Arial" w:cs="Arial"/>
          <w:color w:val="000000" w:themeColor="text1"/>
        </w:rPr>
      </w:pPr>
    </w:p>
    <w:p w:rsidR="00ED0A68" w:rsidRPr="000072EB" w:rsidRDefault="00ED0A68" w:rsidP="00ED0A68">
      <w:pPr>
        <w:jc w:val="both"/>
        <w:rPr>
          <w:rFonts w:ascii="Arial" w:hAnsi="Arial" w:cs="Arial"/>
          <w:color w:val="000000" w:themeColor="text1"/>
        </w:rPr>
      </w:pPr>
      <w:r w:rsidRPr="000072EB">
        <w:rPr>
          <w:rFonts w:ascii="Arial" w:hAnsi="Arial" w:cs="Arial"/>
          <w:color w:val="000000" w:themeColor="text1"/>
        </w:rPr>
        <w:t>Doctor,</w:t>
      </w:r>
    </w:p>
    <w:p w:rsidR="00ED0A68" w:rsidRPr="000072EB" w:rsidRDefault="00ED0A68" w:rsidP="00ED0A68">
      <w:pPr>
        <w:rPr>
          <w:rFonts w:ascii="Arial" w:hAnsi="Arial" w:cs="Arial"/>
          <w:color w:val="222222"/>
          <w:shd w:val="clear" w:color="auto" w:fill="FFFFFF"/>
        </w:rPr>
      </w:pPr>
      <w:r w:rsidRPr="000072EB">
        <w:rPr>
          <w:rFonts w:ascii="Arial" w:hAnsi="Arial" w:cs="Arial"/>
          <w:color w:val="222222"/>
          <w:shd w:val="clear" w:color="auto" w:fill="FFFFFF"/>
        </w:rPr>
        <w:t xml:space="preserve">Gregorio Eljach </w:t>
      </w:r>
    </w:p>
    <w:p w:rsidR="00ED0A68" w:rsidRPr="007A3F30" w:rsidRDefault="00ED0A68" w:rsidP="00ED0A68">
      <w:pPr>
        <w:rPr>
          <w:rFonts w:ascii="Arial" w:hAnsi="Arial" w:cs="Arial"/>
          <w:b/>
          <w:bCs/>
          <w:color w:val="222222"/>
          <w:shd w:val="clear" w:color="auto" w:fill="FFFFFF"/>
        </w:rPr>
      </w:pPr>
      <w:r w:rsidRPr="007A3F30">
        <w:rPr>
          <w:rFonts w:ascii="Arial" w:hAnsi="Arial" w:cs="Arial"/>
          <w:b/>
          <w:bCs/>
          <w:color w:val="222222"/>
          <w:shd w:val="clear" w:color="auto" w:fill="FFFFFF"/>
        </w:rPr>
        <w:t>Secretario General</w:t>
      </w:r>
    </w:p>
    <w:p w:rsidR="00ED0A68" w:rsidRPr="007A3F30" w:rsidRDefault="00ED0A68" w:rsidP="00ED0A68">
      <w:pPr>
        <w:rPr>
          <w:rFonts w:ascii="Arial" w:hAnsi="Arial" w:cs="Arial"/>
          <w:b/>
          <w:bCs/>
          <w:color w:val="222222"/>
          <w:shd w:val="clear" w:color="auto" w:fill="FFFFFF"/>
        </w:rPr>
      </w:pPr>
      <w:r w:rsidRPr="007A3F30">
        <w:rPr>
          <w:rFonts w:ascii="Arial" w:hAnsi="Arial" w:cs="Arial"/>
          <w:b/>
          <w:bCs/>
          <w:color w:val="222222"/>
          <w:shd w:val="clear" w:color="auto" w:fill="FFFFFF"/>
        </w:rPr>
        <w:t>Senado de la República</w:t>
      </w:r>
    </w:p>
    <w:p w:rsidR="00ED0A68" w:rsidRPr="000072EB" w:rsidRDefault="00ED0A68" w:rsidP="00ED0A68">
      <w:pPr>
        <w:rPr>
          <w:rFonts w:ascii="Arial" w:hAnsi="Arial" w:cs="Arial"/>
          <w:color w:val="222222"/>
          <w:shd w:val="clear" w:color="auto" w:fill="FFFFFF"/>
        </w:rPr>
      </w:pPr>
      <w:r w:rsidRPr="000072EB">
        <w:rPr>
          <w:rFonts w:ascii="Arial" w:hAnsi="Arial" w:cs="Arial"/>
          <w:color w:val="222222"/>
          <w:shd w:val="clear" w:color="auto" w:fill="FFFFFF"/>
        </w:rPr>
        <w:t>La ciudad</w:t>
      </w:r>
    </w:p>
    <w:p w:rsidR="00ED0A68" w:rsidRPr="000072EB" w:rsidRDefault="00ED0A68" w:rsidP="00ED0A68">
      <w:pPr>
        <w:rPr>
          <w:rFonts w:ascii="Arial" w:hAnsi="Arial" w:cs="Arial"/>
          <w:color w:val="222222"/>
          <w:shd w:val="clear" w:color="auto" w:fill="FFFFFF"/>
        </w:rPr>
      </w:pPr>
    </w:p>
    <w:p w:rsidR="00ED0A68" w:rsidRPr="000072EB" w:rsidRDefault="00ED0A68" w:rsidP="00ED0A68">
      <w:pPr>
        <w:jc w:val="both"/>
        <w:rPr>
          <w:rFonts w:ascii="Arial" w:hAnsi="Arial" w:cs="Arial"/>
          <w:color w:val="000000" w:themeColor="text1"/>
        </w:rPr>
      </w:pPr>
      <w:r w:rsidRPr="000072EB">
        <w:rPr>
          <w:rFonts w:ascii="Arial" w:hAnsi="Arial" w:cs="Arial"/>
          <w:color w:val="222222"/>
          <w:shd w:val="clear" w:color="auto" w:fill="FFFFFF"/>
        </w:rPr>
        <w:t xml:space="preserve">Referencia: Presentación </w:t>
      </w:r>
      <w:r w:rsidRPr="000072EB">
        <w:rPr>
          <w:rFonts w:ascii="Arial" w:hAnsi="Arial" w:cs="Arial"/>
          <w:color w:val="000000" w:themeColor="text1"/>
        </w:rPr>
        <w:t xml:space="preserve">Proyecto de </w:t>
      </w:r>
      <w:r w:rsidR="00E724EE">
        <w:rPr>
          <w:rFonts w:ascii="Arial" w:hAnsi="Arial" w:cs="Arial"/>
          <w:color w:val="000000" w:themeColor="text1"/>
        </w:rPr>
        <w:t xml:space="preserve">Ley Numero  ____ de 2019 </w:t>
      </w:r>
      <w:r w:rsidRPr="000072EB">
        <w:rPr>
          <w:rFonts w:ascii="Arial" w:hAnsi="Arial" w:cs="Arial"/>
          <w:color w:val="000000" w:themeColor="text1"/>
        </w:rPr>
        <w:t xml:space="preserve"> </w:t>
      </w:r>
      <w:r w:rsidRPr="00675EC7">
        <w:rPr>
          <w:rFonts w:ascii="Arial" w:hAnsi="Arial" w:cs="Arial"/>
          <w:i/>
          <w:iCs/>
          <w:color w:val="000000" w:themeColor="text1"/>
        </w:rPr>
        <w:t>“Por medio de la cual se adoptan medidas en materia de regulación de precios de los combustibles liquidos y se dictan otras disposiciones”</w:t>
      </w:r>
      <w:r w:rsidRPr="000072EB">
        <w:rPr>
          <w:rFonts w:ascii="Arial" w:hAnsi="Arial" w:cs="Arial"/>
          <w:color w:val="000000" w:themeColor="text1"/>
        </w:rPr>
        <w:t>.</w:t>
      </w:r>
    </w:p>
    <w:p w:rsidR="00ED0A68" w:rsidRPr="000072EB" w:rsidRDefault="00ED0A68" w:rsidP="00ED0A68">
      <w:pPr>
        <w:jc w:val="both"/>
        <w:rPr>
          <w:rFonts w:ascii="Arial" w:hAnsi="Arial" w:cs="Arial"/>
          <w:color w:val="000000" w:themeColor="text1"/>
        </w:rPr>
      </w:pPr>
    </w:p>
    <w:p w:rsidR="00ED0A68" w:rsidRPr="000072EB" w:rsidRDefault="00ED0A68" w:rsidP="00ED0A68">
      <w:pPr>
        <w:jc w:val="both"/>
        <w:rPr>
          <w:rFonts w:ascii="Arial" w:hAnsi="Arial" w:cs="Arial"/>
          <w:color w:val="000000" w:themeColor="text1"/>
        </w:rPr>
      </w:pPr>
    </w:p>
    <w:p w:rsidR="00ED0A68" w:rsidRPr="000072EB" w:rsidRDefault="00ED0A68" w:rsidP="00ED0A68">
      <w:pPr>
        <w:jc w:val="both"/>
        <w:rPr>
          <w:rFonts w:ascii="Arial" w:hAnsi="Arial" w:cs="Arial"/>
          <w:color w:val="000000" w:themeColor="text1"/>
        </w:rPr>
      </w:pPr>
      <w:r w:rsidRPr="000072EB">
        <w:rPr>
          <w:rFonts w:ascii="Arial" w:hAnsi="Arial" w:cs="Arial"/>
          <w:color w:val="000000" w:themeColor="text1"/>
        </w:rPr>
        <w:t xml:space="preserve">Respetado Señor Secretario, </w:t>
      </w:r>
    </w:p>
    <w:p w:rsidR="00ED0A68" w:rsidRPr="000072EB" w:rsidRDefault="00ED0A68" w:rsidP="00ED0A68">
      <w:pPr>
        <w:jc w:val="both"/>
        <w:rPr>
          <w:rFonts w:ascii="Arial" w:hAnsi="Arial" w:cs="Arial"/>
          <w:color w:val="000000" w:themeColor="text1"/>
        </w:rPr>
      </w:pPr>
    </w:p>
    <w:p w:rsidR="00ED0A68" w:rsidRPr="000072EB" w:rsidRDefault="00ED0A68" w:rsidP="00ED0A68">
      <w:pPr>
        <w:jc w:val="both"/>
        <w:rPr>
          <w:rFonts w:ascii="Arial" w:hAnsi="Arial" w:cs="Arial"/>
          <w:color w:val="000000" w:themeColor="text1"/>
        </w:rPr>
      </w:pPr>
    </w:p>
    <w:p w:rsidR="00ED0A68" w:rsidRPr="00675EC7" w:rsidRDefault="00ED0A68" w:rsidP="000072EB">
      <w:pPr>
        <w:jc w:val="both"/>
        <w:rPr>
          <w:rFonts w:ascii="Arial" w:hAnsi="Arial" w:cs="Arial"/>
          <w:color w:val="000000" w:themeColor="text1"/>
        </w:rPr>
      </w:pPr>
      <w:r w:rsidRPr="00675EC7">
        <w:rPr>
          <w:rFonts w:ascii="Arial" w:hAnsi="Arial" w:cs="Arial"/>
          <w:color w:val="000000" w:themeColor="text1"/>
        </w:rPr>
        <w:t>Por medio de la presente y de conformidad con lo establecido en el articulo 154 de la Constitucion Politica y el articulo 140 de la Ley 5 de 1992 “Por la cual se expide el Reglamento del Congreso; el Senado y la Cámara de Representantes”, nos permitimos someter a consideracion del Honorable Congreso de la Republica el Proyecto de Ley “</w:t>
      </w:r>
      <w:r w:rsidRPr="00675EC7">
        <w:rPr>
          <w:rFonts w:ascii="Arial" w:hAnsi="Arial" w:cs="Arial"/>
          <w:i/>
          <w:iCs/>
          <w:color w:val="000000" w:themeColor="text1"/>
        </w:rPr>
        <w:t>Por medio de la cual se adoptan medidas en materia de regulación de precios de los combustibles liquidos y se dictan otras disposiciones”</w:t>
      </w:r>
      <w:r w:rsidR="000072EB" w:rsidRPr="00675EC7">
        <w:rPr>
          <w:rFonts w:ascii="Arial" w:hAnsi="Arial" w:cs="Arial"/>
          <w:i/>
          <w:iCs/>
          <w:color w:val="000000" w:themeColor="text1"/>
        </w:rPr>
        <w:t>.</w:t>
      </w:r>
      <w:r w:rsidRPr="00675EC7">
        <w:rPr>
          <w:rFonts w:ascii="Arial" w:hAnsi="Arial" w:cs="Arial"/>
          <w:i/>
          <w:iCs/>
          <w:color w:val="000000" w:themeColor="text1"/>
        </w:rPr>
        <w:t xml:space="preserve"> </w:t>
      </w:r>
    </w:p>
    <w:p w:rsidR="000072EB" w:rsidRPr="000072EB" w:rsidRDefault="000072EB" w:rsidP="000072EB">
      <w:pPr>
        <w:jc w:val="both"/>
        <w:rPr>
          <w:rFonts w:ascii="Arial" w:hAnsi="Arial" w:cs="Arial"/>
          <w:color w:val="000000" w:themeColor="text1"/>
        </w:rPr>
      </w:pPr>
    </w:p>
    <w:p w:rsidR="000072EB" w:rsidRPr="000072EB" w:rsidRDefault="000072EB" w:rsidP="000072EB">
      <w:pPr>
        <w:jc w:val="both"/>
        <w:rPr>
          <w:rFonts w:ascii="Arial" w:hAnsi="Arial" w:cs="Arial"/>
          <w:color w:val="000000" w:themeColor="text1"/>
        </w:rPr>
      </w:pPr>
    </w:p>
    <w:p w:rsidR="000072EB" w:rsidRPr="000072EB" w:rsidRDefault="000072EB" w:rsidP="000072EB">
      <w:pPr>
        <w:jc w:val="both"/>
        <w:rPr>
          <w:rFonts w:ascii="Arial" w:hAnsi="Arial" w:cs="Arial"/>
          <w:color w:val="000000" w:themeColor="text1"/>
        </w:rPr>
      </w:pPr>
      <w:r w:rsidRPr="000072EB">
        <w:rPr>
          <w:rFonts w:ascii="Arial" w:hAnsi="Arial" w:cs="Arial"/>
          <w:color w:val="000000" w:themeColor="text1"/>
        </w:rPr>
        <w:t xml:space="preserve">Cordialmente, </w:t>
      </w:r>
    </w:p>
    <w:p w:rsidR="000072EB" w:rsidRPr="000072EB" w:rsidRDefault="000072EB" w:rsidP="000072EB">
      <w:pPr>
        <w:jc w:val="both"/>
        <w:rPr>
          <w:rFonts w:ascii="Arial" w:hAnsi="Arial" w:cs="Arial"/>
          <w:color w:val="000000" w:themeColor="text1"/>
        </w:rPr>
      </w:pPr>
    </w:p>
    <w:p w:rsidR="000072EB" w:rsidRPr="000072EB" w:rsidRDefault="000072EB" w:rsidP="000072EB">
      <w:pPr>
        <w:jc w:val="both"/>
        <w:rPr>
          <w:rFonts w:ascii="Arial" w:hAnsi="Arial" w:cs="Arial"/>
          <w:color w:val="000000" w:themeColor="text1"/>
        </w:rPr>
      </w:pPr>
    </w:p>
    <w:p w:rsidR="000072EB" w:rsidRDefault="000072EB" w:rsidP="000072EB">
      <w:pPr>
        <w:jc w:val="both"/>
        <w:rPr>
          <w:rFonts w:ascii="Arial" w:hAnsi="Arial" w:cs="Arial"/>
          <w:color w:val="000000" w:themeColor="text1"/>
        </w:rPr>
      </w:pPr>
    </w:p>
    <w:p w:rsidR="008D5E4B" w:rsidRPr="000072EB" w:rsidRDefault="008D5E4B" w:rsidP="000072EB">
      <w:pPr>
        <w:jc w:val="both"/>
        <w:rPr>
          <w:rFonts w:ascii="Arial" w:hAnsi="Arial" w:cs="Arial"/>
          <w:color w:val="000000" w:themeColor="text1"/>
        </w:rPr>
      </w:pPr>
    </w:p>
    <w:p w:rsidR="000072EB" w:rsidRPr="000072EB" w:rsidRDefault="000072EB" w:rsidP="000072EB">
      <w:pPr>
        <w:jc w:val="both"/>
        <w:rPr>
          <w:rFonts w:ascii="Arial" w:hAnsi="Arial" w:cs="Arial"/>
          <w:color w:val="000000" w:themeColor="text1"/>
        </w:rPr>
      </w:pPr>
    </w:p>
    <w:p w:rsidR="000072EB" w:rsidRPr="000072EB" w:rsidRDefault="000072EB" w:rsidP="000072EB">
      <w:pPr>
        <w:jc w:val="both"/>
        <w:rPr>
          <w:rFonts w:ascii="Arial" w:hAnsi="Arial" w:cs="Arial"/>
          <w:b/>
          <w:bCs/>
          <w:color w:val="000000" w:themeColor="text1"/>
        </w:rPr>
      </w:pPr>
      <w:r w:rsidRPr="000072EB">
        <w:rPr>
          <w:rFonts w:ascii="Arial" w:hAnsi="Arial" w:cs="Arial"/>
          <w:b/>
          <w:bCs/>
          <w:color w:val="000000" w:themeColor="text1"/>
        </w:rPr>
        <w:t>SANDRA LILIANA ORTIZ NOVA</w:t>
      </w:r>
    </w:p>
    <w:p w:rsidR="00ED0A68" w:rsidRPr="000072EB" w:rsidRDefault="000072EB" w:rsidP="000072EB">
      <w:pPr>
        <w:jc w:val="both"/>
        <w:rPr>
          <w:rFonts w:ascii="Arial" w:hAnsi="Arial" w:cs="Arial"/>
          <w:b/>
          <w:bCs/>
          <w:color w:val="000000" w:themeColor="text1"/>
        </w:rPr>
      </w:pPr>
      <w:r w:rsidRPr="000072EB">
        <w:rPr>
          <w:rFonts w:ascii="Arial" w:hAnsi="Arial" w:cs="Arial"/>
          <w:b/>
          <w:bCs/>
          <w:color w:val="000000" w:themeColor="text1"/>
        </w:rPr>
        <w:t>Senadora de la Republica</w:t>
      </w:r>
    </w:p>
    <w:p w:rsidR="000072EB" w:rsidRDefault="000072EB" w:rsidP="000072EB">
      <w:pPr>
        <w:jc w:val="both"/>
        <w:rPr>
          <w:rFonts w:ascii="Arial" w:hAnsi="Arial" w:cs="Arial"/>
          <w:b/>
          <w:bCs/>
          <w:color w:val="000000" w:themeColor="text1"/>
        </w:rPr>
      </w:pPr>
    </w:p>
    <w:p w:rsidR="00E724EE" w:rsidRDefault="00E724EE" w:rsidP="000072EB">
      <w:pPr>
        <w:jc w:val="both"/>
        <w:rPr>
          <w:rFonts w:ascii="Arial" w:hAnsi="Arial" w:cs="Arial"/>
          <w:b/>
          <w:bCs/>
          <w:color w:val="000000" w:themeColor="text1"/>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r>
        <w:rPr>
          <w:rFonts w:ascii="Arial" w:hAnsi="Arial" w:cs="Arial"/>
          <w:color w:val="222222"/>
          <w:lang w:eastAsia="es-ES"/>
        </w:rPr>
        <w:t>_______________________________      ________________________________</w:t>
      </w: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r>
        <w:rPr>
          <w:rFonts w:ascii="Arial" w:hAnsi="Arial" w:cs="Arial"/>
          <w:color w:val="222222"/>
          <w:lang w:eastAsia="es-ES"/>
        </w:rPr>
        <w:t>_______________________________      ________________________________</w:t>
      </w: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r>
        <w:rPr>
          <w:rFonts w:ascii="Arial" w:hAnsi="Arial" w:cs="Arial"/>
          <w:color w:val="222222"/>
          <w:lang w:eastAsia="es-ES"/>
        </w:rPr>
        <w:t>_______________________________      ________________________________</w:t>
      </w: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r>
        <w:rPr>
          <w:rFonts w:ascii="Arial" w:hAnsi="Arial" w:cs="Arial"/>
          <w:color w:val="222222"/>
          <w:lang w:eastAsia="es-ES"/>
        </w:rPr>
        <w:t>_______________________________      ________________________________</w:t>
      </w: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r>
        <w:rPr>
          <w:rFonts w:ascii="Arial" w:hAnsi="Arial" w:cs="Arial"/>
          <w:color w:val="222222"/>
          <w:lang w:eastAsia="es-ES"/>
        </w:rPr>
        <w:t>_______________________________      ________________________________</w:t>
      </w: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r>
        <w:rPr>
          <w:rFonts w:ascii="Arial" w:hAnsi="Arial" w:cs="Arial"/>
          <w:color w:val="222222"/>
          <w:lang w:eastAsia="es-ES"/>
        </w:rPr>
        <w:t>_______________________________      ________________________________</w:t>
      </w: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r>
        <w:rPr>
          <w:rFonts w:ascii="Arial" w:hAnsi="Arial" w:cs="Arial"/>
          <w:color w:val="222222"/>
          <w:lang w:eastAsia="es-ES"/>
        </w:rPr>
        <w:t>_______________________________      ________________________________</w:t>
      </w: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r>
        <w:rPr>
          <w:rFonts w:ascii="Arial" w:hAnsi="Arial" w:cs="Arial"/>
          <w:color w:val="222222"/>
          <w:lang w:eastAsia="es-ES"/>
        </w:rPr>
        <w:t>_______________________________      ________________________________</w:t>
      </w: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r>
        <w:rPr>
          <w:rFonts w:ascii="Arial" w:hAnsi="Arial" w:cs="Arial"/>
          <w:color w:val="222222"/>
          <w:lang w:eastAsia="es-ES"/>
        </w:rPr>
        <w:t>_______________________________      ________________________________</w:t>
      </w: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r>
        <w:rPr>
          <w:rFonts w:ascii="Arial" w:hAnsi="Arial" w:cs="Arial"/>
          <w:color w:val="222222"/>
          <w:lang w:eastAsia="es-ES"/>
        </w:rPr>
        <w:t>_______________________________      ________________________________</w:t>
      </w: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r>
        <w:rPr>
          <w:rFonts w:ascii="Arial" w:hAnsi="Arial" w:cs="Arial"/>
          <w:color w:val="222222"/>
          <w:lang w:eastAsia="es-ES"/>
        </w:rPr>
        <w:t>_______________________________      ________________________________</w:t>
      </w: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r>
        <w:rPr>
          <w:rFonts w:ascii="Arial" w:hAnsi="Arial" w:cs="Arial"/>
          <w:color w:val="222222"/>
          <w:lang w:eastAsia="es-ES"/>
        </w:rPr>
        <w:t>_______________________________      ________________________________</w:t>
      </w: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r>
        <w:rPr>
          <w:rFonts w:ascii="Arial" w:hAnsi="Arial" w:cs="Arial"/>
          <w:color w:val="222222"/>
          <w:lang w:eastAsia="es-ES"/>
        </w:rPr>
        <w:t>_______________________________      ________________________________</w:t>
      </w: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r>
        <w:rPr>
          <w:rFonts w:ascii="Arial" w:hAnsi="Arial" w:cs="Arial"/>
          <w:color w:val="222222"/>
          <w:lang w:eastAsia="es-ES"/>
        </w:rPr>
        <w:t>_______________________________      ________________________________</w:t>
      </w: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r>
        <w:rPr>
          <w:rFonts w:ascii="Arial" w:hAnsi="Arial" w:cs="Arial"/>
          <w:color w:val="222222"/>
          <w:lang w:eastAsia="es-ES"/>
        </w:rPr>
        <w:t>_______________________________      ________________________________</w:t>
      </w: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r>
        <w:rPr>
          <w:rFonts w:ascii="Arial" w:hAnsi="Arial" w:cs="Arial"/>
          <w:color w:val="222222"/>
          <w:lang w:eastAsia="es-ES"/>
        </w:rPr>
        <w:t>_______________________________      ________________________________</w:t>
      </w: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r>
        <w:rPr>
          <w:rFonts w:ascii="Arial" w:hAnsi="Arial" w:cs="Arial"/>
          <w:color w:val="222222"/>
          <w:lang w:eastAsia="es-ES"/>
        </w:rPr>
        <w:t>_______________________________      ________________________________</w:t>
      </w: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r>
        <w:rPr>
          <w:rFonts w:ascii="Arial" w:hAnsi="Arial" w:cs="Arial"/>
          <w:color w:val="222222"/>
          <w:lang w:eastAsia="es-ES"/>
        </w:rPr>
        <w:t>_______________________________      ________________________________</w:t>
      </w: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r>
        <w:rPr>
          <w:rFonts w:ascii="Arial" w:hAnsi="Arial" w:cs="Arial"/>
          <w:color w:val="222222"/>
          <w:lang w:eastAsia="es-ES"/>
        </w:rPr>
        <w:t>_______________________________      ________________________________</w:t>
      </w: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r>
        <w:rPr>
          <w:rFonts w:ascii="Arial" w:hAnsi="Arial" w:cs="Arial"/>
          <w:color w:val="222222"/>
          <w:lang w:eastAsia="es-ES"/>
        </w:rPr>
        <w:t>_______________________________      ________________________________</w:t>
      </w:r>
    </w:p>
    <w:p w:rsidR="00C31D20" w:rsidRDefault="00C31D20" w:rsidP="00C31D20">
      <w:pPr>
        <w:contextualSpacing/>
        <w:rPr>
          <w:rFonts w:ascii="Arial" w:hAnsi="Arial" w:cs="Arial"/>
          <w:color w:val="222222"/>
          <w:lang w:eastAsia="es-ES"/>
        </w:rPr>
      </w:pPr>
    </w:p>
    <w:p w:rsidR="00ED0A68" w:rsidRDefault="0026251A" w:rsidP="00C31D20">
      <w:pPr>
        <w:contextualSpacing/>
        <w:jc w:val="center"/>
        <w:rPr>
          <w:rFonts w:ascii="Arial" w:hAnsi="Arial" w:cs="Arial"/>
          <w:b/>
          <w:bCs/>
          <w:color w:val="000000" w:themeColor="text1"/>
        </w:rPr>
      </w:pPr>
      <w:r w:rsidRPr="00197AF3">
        <w:rPr>
          <w:rFonts w:ascii="Arial" w:hAnsi="Arial" w:cs="Arial"/>
          <w:b/>
          <w:bCs/>
          <w:color w:val="000000" w:themeColor="text1"/>
        </w:rPr>
        <w:lastRenderedPageBreak/>
        <w:t>Proyecto de Ley Numero  ____ de 2019</w:t>
      </w:r>
    </w:p>
    <w:p w:rsidR="00ED0A68" w:rsidRDefault="00ED0A68" w:rsidP="00C31D20">
      <w:pPr>
        <w:contextualSpacing/>
        <w:jc w:val="center"/>
        <w:rPr>
          <w:rFonts w:ascii="Arial" w:hAnsi="Arial" w:cs="Arial"/>
          <w:b/>
          <w:bCs/>
          <w:color w:val="000000" w:themeColor="text1"/>
        </w:rPr>
      </w:pPr>
    </w:p>
    <w:p w:rsidR="0026251A" w:rsidRPr="00197AF3" w:rsidRDefault="0026251A" w:rsidP="00C31D20">
      <w:pPr>
        <w:contextualSpacing/>
        <w:jc w:val="center"/>
        <w:rPr>
          <w:rFonts w:ascii="Arial" w:hAnsi="Arial" w:cs="Arial"/>
          <w:b/>
          <w:bCs/>
          <w:color w:val="000000" w:themeColor="text1"/>
        </w:rPr>
      </w:pPr>
      <w:r w:rsidRPr="00197AF3">
        <w:rPr>
          <w:rFonts w:ascii="Arial" w:hAnsi="Arial" w:cs="Arial"/>
          <w:b/>
          <w:bCs/>
          <w:color w:val="000000" w:themeColor="text1"/>
        </w:rPr>
        <w:t xml:space="preserve">“Por medio de la cual </w:t>
      </w:r>
      <w:r w:rsidR="000206E6" w:rsidRPr="00197AF3">
        <w:rPr>
          <w:rFonts w:ascii="Arial" w:hAnsi="Arial" w:cs="Arial"/>
          <w:b/>
          <w:bCs/>
          <w:color w:val="000000" w:themeColor="text1"/>
        </w:rPr>
        <w:t xml:space="preserve">se </w:t>
      </w:r>
      <w:r w:rsidR="00C407CB" w:rsidRPr="00197AF3">
        <w:rPr>
          <w:rFonts w:ascii="Arial" w:hAnsi="Arial" w:cs="Arial"/>
          <w:b/>
          <w:bCs/>
          <w:color w:val="000000" w:themeColor="text1"/>
        </w:rPr>
        <w:t xml:space="preserve">adoptan </w:t>
      </w:r>
      <w:r w:rsidR="00F31CCC" w:rsidRPr="00197AF3">
        <w:rPr>
          <w:rFonts w:ascii="Arial" w:hAnsi="Arial" w:cs="Arial"/>
          <w:b/>
          <w:bCs/>
          <w:color w:val="000000" w:themeColor="text1"/>
        </w:rPr>
        <w:t xml:space="preserve">medidas en materia de regulación de precios de los combustibles liquidos y se dictan otras </w:t>
      </w:r>
      <w:r w:rsidR="00C407CB" w:rsidRPr="00197AF3">
        <w:rPr>
          <w:rFonts w:ascii="Arial" w:hAnsi="Arial" w:cs="Arial"/>
          <w:b/>
          <w:bCs/>
          <w:color w:val="000000" w:themeColor="text1"/>
        </w:rPr>
        <w:t>disposiciones</w:t>
      </w:r>
      <w:r w:rsidR="00BC01A7" w:rsidRPr="00197AF3">
        <w:rPr>
          <w:rFonts w:ascii="Arial" w:hAnsi="Arial" w:cs="Arial"/>
          <w:b/>
          <w:bCs/>
          <w:color w:val="000000" w:themeColor="text1"/>
        </w:rPr>
        <w:t>”</w:t>
      </w:r>
    </w:p>
    <w:p w:rsidR="0026251A" w:rsidRPr="00197AF3" w:rsidRDefault="0026251A" w:rsidP="00C31D20">
      <w:pPr>
        <w:contextualSpacing/>
        <w:jc w:val="center"/>
        <w:rPr>
          <w:rFonts w:ascii="Arial" w:eastAsia="Arial" w:hAnsi="Arial" w:cs="Arial"/>
          <w:b/>
          <w:color w:val="000000" w:themeColor="text1"/>
        </w:rPr>
      </w:pPr>
    </w:p>
    <w:p w:rsidR="0026251A" w:rsidRPr="00197AF3" w:rsidRDefault="0026251A" w:rsidP="00C31D20">
      <w:pPr>
        <w:contextualSpacing/>
        <w:jc w:val="center"/>
        <w:rPr>
          <w:rFonts w:ascii="Arial" w:eastAsia="Arial" w:hAnsi="Arial" w:cs="Arial"/>
          <w:b/>
          <w:color w:val="000000" w:themeColor="text1"/>
        </w:rPr>
      </w:pPr>
      <w:r w:rsidRPr="00197AF3">
        <w:rPr>
          <w:rFonts w:ascii="Arial" w:eastAsia="Arial" w:hAnsi="Arial" w:cs="Arial"/>
          <w:color w:val="000000" w:themeColor="text1"/>
        </w:rPr>
        <w:t>El Congreso de la República de Colombia</w:t>
      </w:r>
    </w:p>
    <w:p w:rsidR="0026251A" w:rsidRPr="00197AF3" w:rsidRDefault="0026251A" w:rsidP="00C31D20">
      <w:pPr>
        <w:contextualSpacing/>
        <w:jc w:val="center"/>
        <w:rPr>
          <w:rFonts w:ascii="Arial" w:eastAsia="Arial" w:hAnsi="Arial" w:cs="Arial"/>
          <w:color w:val="000000" w:themeColor="text1"/>
        </w:rPr>
      </w:pPr>
      <w:r w:rsidRPr="00197AF3">
        <w:rPr>
          <w:rFonts w:ascii="Arial" w:eastAsia="Arial" w:hAnsi="Arial" w:cs="Arial"/>
          <w:color w:val="000000" w:themeColor="text1"/>
        </w:rPr>
        <w:t>DECRETA:</w:t>
      </w:r>
    </w:p>
    <w:p w:rsidR="006B0364" w:rsidRPr="00197AF3" w:rsidRDefault="006B0364" w:rsidP="00C31D20">
      <w:pPr>
        <w:contextualSpacing/>
        <w:jc w:val="center"/>
        <w:rPr>
          <w:rFonts w:ascii="Arial" w:eastAsia="Arial" w:hAnsi="Arial" w:cs="Arial"/>
          <w:color w:val="000000" w:themeColor="text1"/>
        </w:rPr>
      </w:pPr>
    </w:p>
    <w:p w:rsidR="00C43B3C" w:rsidRPr="00197AF3" w:rsidRDefault="006B0364" w:rsidP="00C31D20">
      <w:pPr>
        <w:contextualSpacing/>
        <w:jc w:val="center"/>
        <w:rPr>
          <w:rFonts w:ascii="Arial" w:eastAsia="Arial" w:hAnsi="Arial" w:cs="Arial"/>
          <w:b/>
          <w:bCs/>
          <w:color w:val="000000" w:themeColor="text1"/>
        </w:rPr>
      </w:pPr>
      <w:r w:rsidRPr="00197AF3">
        <w:rPr>
          <w:rFonts w:ascii="Arial" w:eastAsia="Arial" w:hAnsi="Arial" w:cs="Arial"/>
          <w:b/>
          <w:bCs/>
          <w:color w:val="000000" w:themeColor="text1"/>
        </w:rPr>
        <w:t>CAPITULO</w:t>
      </w:r>
      <w:r w:rsidR="00C43B3C" w:rsidRPr="00197AF3">
        <w:rPr>
          <w:rFonts w:ascii="Arial" w:eastAsia="Arial" w:hAnsi="Arial" w:cs="Arial"/>
          <w:b/>
          <w:bCs/>
          <w:color w:val="000000" w:themeColor="text1"/>
        </w:rPr>
        <w:t xml:space="preserve"> I</w:t>
      </w:r>
    </w:p>
    <w:p w:rsidR="004202CE" w:rsidRPr="00197AF3" w:rsidRDefault="004202CE" w:rsidP="00C31D20">
      <w:pPr>
        <w:contextualSpacing/>
        <w:jc w:val="center"/>
        <w:rPr>
          <w:rFonts w:ascii="Arial" w:eastAsia="SimSun" w:hAnsi="Arial" w:cs="Arial"/>
          <w:b/>
          <w:bCs/>
          <w:lang w:val="es-MX" w:eastAsia="zh-CN"/>
        </w:rPr>
      </w:pPr>
      <w:r w:rsidRPr="00197AF3">
        <w:rPr>
          <w:rFonts w:ascii="Arial" w:eastAsia="SimSun" w:hAnsi="Arial" w:cs="Arial"/>
          <w:b/>
          <w:bCs/>
          <w:lang w:val="es-MX" w:eastAsia="zh-CN"/>
        </w:rPr>
        <w:t>DISPOSICIONES GENERALES</w:t>
      </w:r>
    </w:p>
    <w:p w:rsidR="0026251A" w:rsidRPr="00197AF3" w:rsidRDefault="0026251A" w:rsidP="00C31D20">
      <w:pPr>
        <w:spacing w:before="40" w:after="40"/>
        <w:contextualSpacing/>
        <w:jc w:val="both"/>
        <w:rPr>
          <w:rFonts w:ascii="Arial" w:eastAsia="Arial" w:hAnsi="Arial" w:cs="Arial"/>
          <w:color w:val="000000" w:themeColor="text1"/>
        </w:rPr>
      </w:pPr>
    </w:p>
    <w:p w:rsidR="00453317" w:rsidRPr="00197AF3" w:rsidRDefault="0026251A" w:rsidP="00C31D20">
      <w:pPr>
        <w:contextualSpacing/>
        <w:jc w:val="both"/>
        <w:rPr>
          <w:rFonts w:ascii="Arial" w:hAnsi="Arial" w:cs="Arial"/>
          <w:color w:val="000000" w:themeColor="text1"/>
        </w:rPr>
      </w:pPr>
      <w:r w:rsidRPr="00197AF3">
        <w:rPr>
          <w:rFonts w:ascii="Arial" w:eastAsia="Arial" w:hAnsi="Arial" w:cs="Arial"/>
          <w:b/>
          <w:color w:val="000000" w:themeColor="text1"/>
        </w:rPr>
        <w:t>Artículo 1º. Objeto</w:t>
      </w:r>
      <w:r w:rsidR="003F5900">
        <w:rPr>
          <w:rFonts w:ascii="Arial" w:eastAsia="Arial" w:hAnsi="Arial" w:cs="Arial"/>
          <w:b/>
          <w:color w:val="000000" w:themeColor="text1"/>
        </w:rPr>
        <w:t xml:space="preserve">. </w:t>
      </w:r>
      <w:r w:rsidR="000206E6" w:rsidRPr="00197AF3">
        <w:rPr>
          <w:rFonts w:ascii="Arial" w:eastAsia="Arial" w:hAnsi="Arial" w:cs="Arial"/>
          <w:color w:val="000000" w:themeColor="text1"/>
        </w:rPr>
        <w:t>El</w:t>
      </w:r>
      <w:r w:rsidR="00C407CB" w:rsidRPr="00197AF3">
        <w:rPr>
          <w:rFonts w:ascii="Arial" w:eastAsia="Arial" w:hAnsi="Arial" w:cs="Arial"/>
          <w:color w:val="000000" w:themeColor="text1"/>
        </w:rPr>
        <w:t xml:space="preserve"> presente proyecto busca la verificación y revisión de la </w:t>
      </w:r>
      <w:r w:rsidR="00AF3CBE" w:rsidRPr="00197AF3">
        <w:rPr>
          <w:rFonts w:ascii="Arial" w:eastAsia="Arial" w:hAnsi="Arial" w:cs="Arial"/>
          <w:color w:val="000000" w:themeColor="text1"/>
        </w:rPr>
        <w:t xml:space="preserve">aplicación </w:t>
      </w:r>
      <w:r w:rsidR="002D1E6C" w:rsidRPr="00197AF3">
        <w:rPr>
          <w:rFonts w:ascii="Arial" w:eastAsia="Arial" w:hAnsi="Arial" w:cs="Arial"/>
          <w:color w:val="000000" w:themeColor="text1"/>
        </w:rPr>
        <w:t xml:space="preserve">y composición de </w:t>
      </w:r>
      <w:r w:rsidR="000072EB">
        <w:rPr>
          <w:rFonts w:ascii="Arial" w:hAnsi="Arial" w:cs="Arial"/>
          <w:color w:val="000000" w:themeColor="text1"/>
        </w:rPr>
        <w:t xml:space="preserve">la </w:t>
      </w:r>
      <w:r w:rsidR="00ED0A68" w:rsidRPr="00ED0A68">
        <w:rPr>
          <w:rFonts w:ascii="Arial" w:hAnsi="Arial" w:cs="Arial"/>
          <w:color w:val="181717"/>
          <w:shd w:val="clear" w:color="auto" w:fill="FFFFFF"/>
        </w:rPr>
        <w:t>metodología de cálculo del valor del ingreso al productor de los combustibles líquidos, así como las tarifas y márgenes asociados a la remuneración de toda la cadena de transporte, logística, comercialización y distribución de dichos combustibles que hacen parte del mercado regulado</w:t>
      </w:r>
      <w:r w:rsidR="000072EB">
        <w:rPr>
          <w:rFonts w:ascii="Arial" w:hAnsi="Arial" w:cs="Arial"/>
          <w:color w:val="181717"/>
          <w:shd w:val="clear" w:color="auto" w:fill="FFFFFF"/>
        </w:rPr>
        <w:t xml:space="preserve"> y </w:t>
      </w:r>
      <w:r w:rsidR="00ED0A68" w:rsidRPr="00ED0A68">
        <w:rPr>
          <w:rFonts w:ascii="Arial" w:hAnsi="Arial" w:cs="Arial"/>
          <w:color w:val="181717"/>
          <w:shd w:val="clear" w:color="auto" w:fill="FFFFFF"/>
        </w:rPr>
        <w:t>el mecanismo de estabilización de los precios de referencia de venta al público de los combustibles regulados</w:t>
      </w:r>
      <w:r w:rsidR="000072EB">
        <w:rPr>
          <w:rFonts w:ascii="Arial" w:hAnsi="Arial" w:cs="Arial"/>
          <w:color w:val="181717"/>
          <w:shd w:val="clear" w:color="auto" w:fill="FFFFFF"/>
        </w:rPr>
        <w:t xml:space="preserve">, </w:t>
      </w:r>
      <w:r w:rsidR="00131A8E" w:rsidRPr="00197AF3">
        <w:rPr>
          <w:rFonts w:ascii="Arial" w:hAnsi="Arial" w:cs="Arial"/>
          <w:color w:val="000000" w:themeColor="text1"/>
        </w:rPr>
        <w:t xml:space="preserve">con el fin de establecer política clara y transparente a la </w:t>
      </w:r>
      <w:r w:rsidR="005A4067" w:rsidRPr="00197AF3">
        <w:rPr>
          <w:rFonts w:ascii="Arial" w:hAnsi="Arial" w:cs="Arial"/>
          <w:color w:val="000000" w:themeColor="text1"/>
        </w:rPr>
        <w:t>estructura</w:t>
      </w:r>
      <w:r w:rsidR="00131A8E" w:rsidRPr="00197AF3">
        <w:rPr>
          <w:rFonts w:ascii="Arial" w:hAnsi="Arial" w:cs="Arial"/>
          <w:color w:val="000000" w:themeColor="text1"/>
        </w:rPr>
        <w:t xml:space="preserve"> del precio de los combustibles</w:t>
      </w:r>
      <w:r w:rsidR="000206E6" w:rsidRPr="00197AF3">
        <w:rPr>
          <w:rFonts w:ascii="Arial" w:hAnsi="Arial" w:cs="Arial"/>
          <w:color w:val="000000" w:themeColor="text1"/>
        </w:rPr>
        <w:t>.</w:t>
      </w:r>
    </w:p>
    <w:p w:rsidR="000206E6" w:rsidRPr="00197AF3" w:rsidRDefault="000206E6" w:rsidP="00C31D20">
      <w:pPr>
        <w:contextualSpacing/>
        <w:jc w:val="both"/>
        <w:rPr>
          <w:rFonts w:ascii="Arial" w:hAnsi="Arial" w:cs="Arial"/>
          <w:color w:val="000000" w:themeColor="text1"/>
        </w:rPr>
      </w:pPr>
    </w:p>
    <w:p w:rsidR="002D1E6C" w:rsidRPr="00197AF3" w:rsidRDefault="000206E6" w:rsidP="00C31D20">
      <w:pPr>
        <w:contextualSpacing/>
        <w:jc w:val="both"/>
        <w:rPr>
          <w:rFonts w:ascii="Arial" w:hAnsi="Arial" w:cs="Arial"/>
          <w:color w:val="000000" w:themeColor="text1"/>
        </w:rPr>
      </w:pPr>
      <w:r w:rsidRPr="00197AF3">
        <w:rPr>
          <w:rFonts w:ascii="Arial" w:eastAsia="Arial" w:hAnsi="Arial" w:cs="Arial"/>
          <w:b/>
          <w:color w:val="000000" w:themeColor="text1"/>
        </w:rPr>
        <w:t xml:space="preserve">Artículo </w:t>
      </w:r>
      <w:r w:rsidR="00DB0329" w:rsidRPr="00197AF3">
        <w:rPr>
          <w:rFonts w:ascii="Arial" w:eastAsia="Arial" w:hAnsi="Arial" w:cs="Arial"/>
          <w:b/>
          <w:color w:val="000000" w:themeColor="text1"/>
        </w:rPr>
        <w:t>2</w:t>
      </w:r>
      <w:r w:rsidRPr="00197AF3">
        <w:rPr>
          <w:rFonts w:ascii="Arial" w:eastAsia="Arial" w:hAnsi="Arial" w:cs="Arial"/>
          <w:b/>
          <w:color w:val="000000" w:themeColor="text1"/>
        </w:rPr>
        <w:t xml:space="preserve">º. </w:t>
      </w:r>
      <w:r w:rsidR="002D1E6C" w:rsidRPr="00197AF3">
        <w:rPr>
          <w:rFonts w:ascii="Arial" w:eastAsia="Arial" w:hAnsi="Arial" w:cs="Arial"/>
          <w:b/>
          <w:color w:val="000000" w:themeColor="text1"/>
        </w:rPr>
        <w:t>Ámbito de Aplicación</w:t>
      </w:r>
      <w:r w:rsidR="00197AF3">
        <w:rPr>
          <w:rFonts w:ascii="Arial" w:eastAsia="Arial" w:hAnsi="Arial" w:cs="Arial"/>
          <w:b/>
          <w:color w:val="000000" w:themeColor="text1"/>
        </w:rPr>
        <w:t>.</w:t>
      </w:r>
      <w:r w:rsidR="002D1E6C" w:rsidRPr="00197AF3">
        <w:rPr>
          <w:rFonts w:ascii="Arial" w:eastAsia="Arial" w:hAnsi="Arial" w:cs="Arial"/>
          <w:b/>
          <w:color w:val="000000" w:themeColor="text1"/>
        </w:rPr>
        <w:t xml:space="preserve"> </w:t>
      </w:r>
      <w:r w:rsidR="00DB0329" w:rsidRPr="00197AF3">
        <w:rPr>
          <w:rFonts w:ascii="Arial" w:eastAsia="Calibri" w:hAnsi="Arial" w:cs="Arial"/>
          <w:color w:val="000000" w:themeColor="text1"/>
          <w:lang w:eastAsia="en-US"/>
        </w:rPr>
        <w:t xml:space="preserve">Las disposiciones que aquí se establecen, serán obligatorias para las entidades públicas </w:t>
      </w:r>
      <w:r w:rsidR="00A34DE5" w:rsidRPr="00197AF3">
        <w:rPr>
          <w:rFonts w:ascii="Arial" w:eastAsia="Calibri" w:hAnsi="Arial" w:cs="Arial"/>
          <w:color w:val="000000" w:themeColor="text1"/>
          <w:lang w:eastAsia="en-US"/>
        </w:rPr>
        <w:t xml:space="preserve">y privadas </w:t>
      </w:r>
      <w:r w:rsidR="00DB0329" w:rsidRPr="00197AF3">
        <w:rPr>
          <w:rFonts w:ascii="Arial" w:eastAsia="Calibri" w:hAnsi="Arial" w:cs="Arial"/>
          <w:color w:val="000000" w:themeColor="text1"/>
          <w:lang w:eastAsia="en-US"/>
        </w:rPr>
        <w:t xml:space="preserve">del nivel </w:t>
      </w:r>
      <w:r w:rsidR="008E7C10" w:rsidRPr="00197AF3">
        <w:rPr>
          <w:rFonts w:ascii="Arial" w:eastAsia="Calibri" w:hAnsi="Arial" w:cs="Arial"/>
          <w:color w:val="000000" w:themeColor="text1"/>
          <w:lang w:eastAsia="en-US"/>
        </w:rPr>
        <w:t>N</w:t>
      </w:r>
      <w:r w:rsidR="00DB0329" w:rsidRPr="00197AF3">
        <w:rPr>
          <w:rFonts w:ascii="Arial" w:eastAsia="Calibri" w:hAnsi="Arial" w:cs="Arial"/>
          <w:color w:val="000000" w:themeColor="text1"/>
          <w:lang w:eastAsia="en-US"/>
        </w:rPr>
        <w:t>acional</w:t>
      </w:r>
      <w:r w:rsidR="00912262">
        <w:rPr>
          <w:rFonts w:ascii="Arial" w:eastAsia="Calibri" w:hAnsi="Arial" w:cs="Arial"/>
          <w:color w:val="000000" w:themeColor="text1"/>
          <w:lang w:eastAsia="en-US"/>
        </w:rPr>
        <w:t xml:space="preserve"> </w:t>
      </w:r>
      <w:r w:rsidR="00912262" w:rsidRPr="00197AF3">
        <w:rPr>
          <w:rFonts w:ascii="Arial" w:hAnsi="Arial" w:cs="Arial"/>
          <w:color w:val="000000" w:themeColor="text1"/>
        </w:rPr>
        <w:t xml:space="preserve">y </w:t>
      </w:r>
      <w:r w:rsidR="00912262" w:rsidRPr="00197AF3">
        <w:rPr>
          <w:rFonts w:ascii="Arial" w:hAnsi="Arial" w:cs="Arial"/>
        </w:rPr>
        <w:t>todos los actores que intervienen en la cadena, sin excepción alguna, en cualquier lugar o región del país en el que operen</w:t>
      </w:r>
      <w:r w:rsidR="00197AF3" w:rsidRPr="00197AF3">
        <w:rPr>
          <w:rFonts w:ascii="Arial" w:hAnsi="Arial" w:cs="Arial"/>
        </w:rPr>
        <w:t xml:space="preserve">, </w:t>
      </w:r>
      <w:r w:rsidR="00A34DE5" w:rsidRPr="00197AF3">
        <w:rPr>
          <w:rFonts w:ascii="Arial" w:eastAsia="Calibri" w:hAnsi="Arial" w:cs="Arial"/>
          <w:color w:val="000000" w:themeColor="text1"/>
          <w:lang w:eastAsia="en-US"/>
        </w:rPr>
        <w:t xml:space="preserve">con el fin de dar </w:t>
      </w:r>
      <w:r w:rsidR="00DB0329" w:rsidRPr="00197AF3">
        <w:rPr>
          <w:rFonts w:ascii="Arial" w:eastAsia="Calibri" w:hAnsi="Arial" w:cs="Arial"/>
          <w:color w:val="000000" w:themeColor="text1"/>
          <w:lang w:eastAsia="en-US"/>
        </w:rPr>
        <w:t xml:space="preserve">cumpliendo </w:t>
      </w:r>
      <w:r w:rsidR="00A34DE5" w:rsidRPr="00197AF3">
        <w:rPr>
          <w:rFonts w:ascii="Arial" w:eastAsia="Calibri" w:hAnsi="Arial" w:cs="Arial"/>
          <w:color w:val="000000" w:themeColor="text1"/>
          <w:lang w:eastAsia="en-US"/>
        </w:rPr>
        <w:t xml:space="preserve">a </w:t>
      </w:r>
      <w:r w:rsidR="00DB0329" w:rsidRPr="00197AF3">
        <w:rPr>
          <w:rFonts w:ascii="Arial" w:eastAsia="Calibri" w:hAnsi="Arial" w:cs="Arial"/>
          <w:color w:val="000000" w:themeColor="text1"/>
          <w:lang w:eastAsia="en-US"/>
        </w:rPr>
        <w:t>l</w:t>
      </w:r>
      <w:r w:rsidR="00A34DE5" w:rsidRPr="00197AF3">
        <w:rPr>
          <w:rFonts w:ascii="Arial" w:eastAsia="Calibri" w:hAnsi="Arial" w:cs="Arial"/>
          <w:color w:val="000000" w:themeColor="text1"/>
          <w:lang w:eastAsia="en-US"/>
        </w:rPr>
        <w:t xml:space="preserve">a norma constitucional </w:t>
      </w:r>
      <w:r w:rsidR="00DB0329" w:rsidRPr="00197AF3">
        <w:rPr>
          <w:rFonts w:ascii="Arial" w:eastAsia="Calibri" w:hAnsi="Arial" w:cs="Arial"/>
          <w:color w:val="000000" w:themeColor="text1"/>
          <w:lang w:eastAsia="en-US"/>
        </w:rPr>
        <w:t>que establezca la normatividad vigente.</w:t>
      </w:r>
    </w:p>
    <w:p w:rsidR="00DB0329" w:rsidRPr="00197AF3" w:rsidRDefault="00DB0329" w:rsidP="00C31D20">
      <w:pPr>
        <w:contextualSpacing/>
        <w:jc w:val="both"/>
        <w:rPr>
          <w:rFonts w:ascii="Arial" w:hAnsi="Arial" w:cs="Arial"/>
          <w:color w:val="000000" w:themeColor="text1"/>
        </w:rPr>
      </w:pPr>
    </w:p>
    <w:p w:rsidR="00A34DE5" w:rsidRDefault="00DB0329" w:rsidP="00C31D20">
      <w:pPr>
        <w:contextualSpacing/>
        <w:jc w:val="both"/>
        <w:rPr>
          <w:rFonts w:ascii="Arial" w:eastAsia="Calibri" w:hAnsi="Arial" w:cs="Arial"/>
          <w:color w:val="000000" w:themeColor="text1"/>
          <w:lang w:eastAsia="en-US"/>
        </w:rPr>
      </w:pPr>
      <w:r w:rsidRPr="00197AF3">
        <w:rPr>
          <w:rFonts w:ascii="Arial" w:eastAsia="Arial" w:hAnsi="Arial" w:cs="Arial"/>
          <w:b/>
          <w:color w:val="000000" w:themeColor="text1"/>
        </w:rPr>
        <w:t xml:space="preserve">Artículo 3º. </w:t>
      </w:r>
      <w:r w:rsidR="00A34DE5" w:rsidRPr="00197AF3">
        <w:rPr>
          <w:rFonts w:ascii="Arial" w:eastAsia="Arial" w:hAnsi="Arial" w:cs="Arial"/>
          <w:b/>
          <w:color w:val="000000" w:themeColor="text1"/>
        </w:rPr>
        <w:t>Definicione</w:t>
      </w:r>
      <w:r w:rsidR="00291C12" w:rsidRPr="00197AF3">
        <w:rPr>
          <w:rFonts w:ascii="Arial" w:eastAsia="Arial" w:hAnsi="Arial" w:cs="Arial"/>
          <w:b/>
          <w:color w:val="000000" w:themeColor="text1"/>
        </w:rPr>
        <w:t>s</w:t>
      </w:r>
      <w:r w:rsidR="00197AF3">
        <w:rPr>
          <w:rFonts w:ascii="Arial" w:eastAsia="Arial" w:hAnsi="Arial" w:cs="Arial"/>
          <w:b/>
          <w:color w:val="000000" w:themeColor="text1"/>
        </w:rPr>
        <w:t>.</w:t>
      </w:r>
      <w:r w:rsidR="00A34DE5" w:rsidRPr="00197AF3">
        <w:rPr>
          <w:rFonts w:ascii="Arial" w:eastAsia="Arial" w:hAnsi="Arial" w:cs="Arial"/>
          <w:b/>
          <w:color w:val="000000" w:themeColor="text1"/>
        </w:rPr>
        <w:t xml:space="preserve"> </w:t>
      </w:r>
      <w:r w:rsidR="00A34DE5" w:rsidRPr="00197AF3">
        <w:rPr>
          <w:rFonts w:ascii="Arial" w:eastAsia="Calibri" w:hAnsi="Arial" w:cs="Arial"/>
          <w:color w:val="000000" w:themeColor="text1"/>
          <w:lang w:eastAsia="en-US"/>
        </w:rPr>
        <w:t>Para efectos de la aplicación de la presente Ley se establecen la</w:t>
      </w:r>
      <w:r w:rsidR="00D77B53" w:rsidRPr="00197AF3">
        <w:rPr>
          <w:rFonts w:ascii="Arial" w:eastAsia="Calibri" w:hAnsi="Arial" w:cs="Arial"/>
          <w:color w:val="000000" w:themeColor="text1"/>
          <w:lang w:eastAsia="en-US"/>
        </w:rPr>
        <w:t>s</w:t>
      </w:r>
      <w:r w:rsidR="00A34DE5" w:rsidRPr="00197AF3">
        <w:rPr>
          <w:rFonts w:ascii="Arial" w:eastAsia="Calibri" w:hAnsi="Arial" w:cs="Arial"/>
          <w:color w:val="000000" w:themeColor="text1"/>
          <w:lang w:eastAsia="en-US"/>
        </w:rPr>
        <w:t xml:space="preserve"> siguiente</w:t>
      </w:r>
      <w:r w:rsidR="00D77B53" w:rsidRPr="00197AF3">
        <w:rPr>
          <w:rFonts w:ascii="Arial" w:eastAsia="Calibri" w:hAnsi="Arial" w:cs="Arial"/>
          <w:color w:val="000000" w:themeColor="text1"/>
          <w:lang w:eastAsia="en-US"/>
        </w:rPr>
        <w:t>s</w:t>
      </w:r>
      <w:r w:rsidR="00A34DE5" w:rsidRPr="00197AF3">
        <w:rPr>
          <w:rFonts w:ascii="Arial" w:eastAsia="Calibri" w:hAnsi="Arial" w:cs="Arial"/>
          <w:color w:val="000000" w:themeColor="text1"/>
          <w:lang w:eastAsia="en-US"/>
        </w:rPr>
        <w:t xml:space="preserve"> </w:t>
      </w:r>
      <w:r w:rsidR="003B4840" w:rsidRPr="00197AF3">
        <w:rPr>
          <w:rFonts w:ascii="Arial" w:eastAsia="Calibri" w:hAnsi="Arial" w:cs="Arial"/>
          <w:color w:val="000000" w:themeColor="text1"/>
          <w:lang w:eastAsia="en-US"/>
        </w:rPr>
        <w:t>definici</w:t>
      </w:r>
      <w:r w:rsidR="00D77B53" w:rsidRPr="00197AF3">
        <w:rPr>
          <w:rFonts w:ascii="Arial" w:eastAsia="Calibri" w:hAnsi="Arial" w:cs="Arial"/>
          <w:color w:val="000000" w:themeColor="text1"/>
          <w:lang w:eastAsia="en-US"/>
        </w:rPr>
        <w:t>o</w:t>
      </w:r>
      <w:r w:rsidR="003B4840" w:rsidRPr="00197AF3">
        <w:rPr>
          <w:rFonts w:ascii="Arial" w:eastAsia="Calibri" w:hAnsi="Arial" w:cs="Arial"/>
          <w:color w:val="000000" w:themeColor="text1"/>
          <w:lang w:eastAsia="en-US"/>
        </w:rPr>
        <w:t>n</w:t>
      </w:r>
      <w:r w:rsidR="00D77B53" w:rsidRPr="00197AF3">
        <w:rPr>
          <w:rFonts w:ascii="Arial" w:eastAsia="Calibri" w:hAnsi="Arial" w:cs="Arial"/>
          <w:color w:val="000000" w:themeColor="text1"/>
          <w:lang w:eastAsia="en-US"/>
        </w:rPr>
        <w:t>es</w:t>
      </w:r>
      <w:r w:rsidR="00A34DE5" w:rsidRPr="00197AF3">
        <w:rPr>
          <w:rFonts w:ascii="Arial" w:eastAsia="Calibri" w:hAnsi="Arial" w:cs="Arial"/>
          <w:color w:val="000000" w:themeColor="text1"/>
          <w:lang w:eastAsia="en-US"/>
        </w:rPr>
        <w:t>:</w:t>
      </w:r>
    </w:p>
    <w:p w:rsidR="00197AF3" w:rsidRDefault="00197AF3" w:rsidP="00C31D20">
      <w:pPr>
        <w:contextualSpacing/>
        <w:jc w:val="both"/>
        <w:rPr>
          <w:rFonts w:ascii="Arial" w:eastAsia="Calibri" w:hAnsi="Arial" w:cs="Arial"/>
          <w:color w:val="000000" w:themeColor="text1"/>
          <w:lang w:eastAsia="en-US"/>
        </w:rPr>
      </w:pPr>
    </w:p>
    <w:p w:rsidR="00197AF3" w:rsidRPr="00197AF3" w:rsidRDefault="00197AF3" w:rsidP="00C31D20">
      <w:pPr>
        <w:spacing w:line="254" w:lineRule="atLeast"/>
        <w:contextualSpacing/>
        <w:jc w:val="both"/>
        <w:rPr>
          <w:rFonts w:ascii="Arial" w:hAnsi="Arial" w:cs="Arial"/>
          <w:color w:val="000000"/>
        </w:rPr>
      </w:pPr>
      <w:r w:rsidRPr="00197AF3">
        <w:rPr>
          <w:rFonts w:ascii="Arial" w:hAnsi="Arial" w:cs="Arial"/>
          <w:color w:val="000000"/>
          <w:u w:val="single"/>
        </w:rPr>
        <w:t>Precio de Paridad Internacional.</w:t>
      </w:r>
      <w:r w:rsidRPr="00197AF3">
        <w:rPr>
          <w:rFonts w:ascii="Arial" w:hAnsi="Arial" w:cs="Arial"/>
          <w:color w:val="000000"/>
        </w:rPr>
        <w:t xml:space="preserve"> Es el precio calculado de acuerdo con la metodología expedida para el efecto, tomando como referencia el precio diario de los combustibles en el mercado de la Costa Estadounidense del Golfo de México u otro mercado competitivo. </w:t>
      </w:r>
    </w:p>
    <w:p w:rsidR="00197AF3" w:rsidRPr="00197AF3" w:rsidRDefault="00197AF3" w:rsidP="00C31D20">
      <w:pPr>
        <w:spacing w:line="254" w:lineRule="atLeast"/>
        <w:contextualSpacing/>
        <w:jc w:val="both"/>
        <w:rPr>
          <w:rFonts w:ascii="Arial" w:hAnsi="Arial" w:cs="Arial"/>
          <w:color w:val="000000"/>
        </w:rPr>
      </w:pPr>
      <w:r w:rsidRPr="00197AF3">
        <w:rPr>
          <w:rFonts w:ascii="Arial" w:hAnsi="Arial" w:cs="Arial"/>
          <w:color w:val="000000"/>
        </w:rPr>
        <w:t>  </w:t>
      </w:r>
    </w:p>
    <w:p w:rsidR="00197AF3" w:rsidRPr="00197AF3" w:rsidRDefault="00197AF3" w:rsidP="00C31D20">
      <w:pPr>
        <w:spacing w:line="254" w:lineRule="atLeast"/>
        <w:contextualSpacing/>
        <w:jc w:val="both"/>
        <w:rPr>
          <w:rFonts w:ascii="Arial" w:hAnsi="Arial" w:cs="Arial"/>
          <w:color w:val="000000"/>
        </w:rPr>
      </w:pPr>
      <w:r w:rsidRPr="00197AF3">
        <w:rPr>
          <w:rFonts w:ascii="Arial" w:hAnsi="Arial" w:cs="Arial"/>
          <w:color w:val="000000"/>
          <w:u w:val="single"/>
        </w:rPr>
        <w:t>Ingreso al Productor.</w:t>
      </w:r>
      <w:r w:rsidRPr="00197AF3">
        <w:rPr>
          <w:rFonts w:ascii="Arial" w:hAnsi="Arial" w:cs="Arial"/>
          <w:color w:val="000000"/>
        </w:rPr>
        <w:t xml:space="preserve"> Es el precio por galón fijado</w:t>
      </w:r>
      <w:r w:rsidR="003F5900">
        <w:rPr>
          <w:rFonts w:ascii="Arial" w:hAnsi="Arial" w:cs="Arial"/>
          <w:color w:val="000000"/>
        </w:rPr>
        <w:t xml:space="preserve"> </w:t>
      </w:r>
      <w:r w:rsidRPr="00197AF3">
        <w:rPr>
          <w:rFonts w:ascii="Arial" w:hAnsi="Arial" w:cs="Arial"/>
          <w:color w:val="000000"/>
        </w:rPr>
        <w:t>al que los refinadores e importadores venden la gasolina motor corriente o el ACPM, para atender el mercado nacional; </w:t>
      </w:r>
    </w:p>
    <w:p w:rsidR="00197AF3" w:rsidRPr="00197AF3" w:rsidRDefault="00197AF3" w:rsidP="00C31D20">
      <w:pPr>
        <w:spacing w:line="254" w:lineRule="atLeast"/>
        <w:contextualSpacing/>
        <w:jc w:val="both"/>
        <w:rPr>
          <w:rFonts w:ascii="Arial" w:hAnsi="Arial" w:cs="Arial"/>
          <w:color w:val="000000"/>
        </w:rPr>
      </w:pPr>
      <w:r w:rsidRPr="00197AF3">
        <w:rPr>
          <w:rFonts w:ascii="Arial" w:hAnsi="Arial" w:cs="Arial"/>
          <w:color w:val="000000"/>
        </w:rPr>
        <w:t>  </w:t>
      </w:r>
    </w:p>
    <w:p w:rsidR="00197AF3" w:rsidRPr="00197AF3" w:rsidRDefault="00197AF3" w:rsidP="00C31D20">
      <w:pPr>
        <w:spacing w:line="254" w:lineRule="atLeast"/>
        <w:contextualSpacing/>
        <w:jc w:val="both"/>
        <w:rPr>
          <w:rFonts w:ascii="Arial" w:hAnsi="Arial" w:cs="Arial"/>
          <w:color w:val="000000"/>
        </w:rPr>
      </w:pPr>
      <w:r w:rsidRPr="00197AF3">
        <w:rPr>
          <w:rFonts w:ascii="Arial" w:hAnsi="Arial" w:cs="Arial"/>
          <w:color w:val="000000"/>
          <w:u w:val="single"/>
        </w:rPr>
        <w:t>Diferencial de Compensación.</w:t>
      </w:r>
      <w:r w:rsidRPr="00197AF3">
        <w:rPr>
          <w:rFonts w:ascii="Arial" w:hAnsi="Arial" w:cs="Arial"/>
          <w:color w:val="000000"/>
        </w:rPr>
        <w:t xml:space="preserve"> Es la diferencia presentada entre el Ingreso al Productor y el Precio de Paridad Internacional, cuando el segundo es mayor que el </w:t>
      </w:r>
      <w:r w:rsidRPr="00197AF3">
        <w:rPr>
          <w:rFonts w:ascii="Arial" w:hAnsi="Arial" w:cs="Arial"/>
          <w:color w:val="000000"/>
        </w:rPr>
        <w:lastRenderedPageBreak/>
        <w:t>primero en la fecha de emisión de la factura de venta, multiplicada por el volumen de combustible vendido; </w:t>
      </w:r>
    </w:p>
    <w:p w:rsidR="00197AF3" w:rsidRPr="00197AF3" w:rsidRDefault="00197AF3" w:rsidP="00C31D20">
      <w:pPr>
        <w:spacing w:line="254" w:lineRule="atLeast"/>
        <w:contextualSpacing/>
        <w:jc w:val="both"/>
        <w:rPr>
          <w:rFonts w:ascii="Arial" w:hAnsi="Arial" w:cs="Arial"/>
          <w:color w:val="000000"/>
        </w:rPr>
      </w:pPr>
      <w:r w:rsidRPr="00197AF3">
        <w:rPr>
          <w:rFonts w:ascii="Arial" w:hAnsi="Arial" w:cs="Arial"/>
          <w:color w:val="000000"/>
        </w:rPr>
        <w:t>  </w:t>
      </w:r>
    </w:p>
    <w:p w:rsidR="00197AF3" w:rsidRPr="00197AF3" w:rsidRDefault="00197AF3" w:rsidP="00C31D20">
      <w:pPr>
        <w:spacing w:line="254" w:lineRule="atLeast"/>
        <w:contextualSpacing/>
        <w:jc w:val="both"/>
        <w:rPr>
          <w:rFonts w:ascii="Arial" w:hAnsi="Arial" w:cs="Arial"/>
          <w:color w:val="000000"/>
        </w:rPr>
      </w:pPr>
      <w:r w:rsidRPr="00197AF3">
        <w:rPr>
          <w:rFonts w:ascii="Arial" w:hAnsi="Arial" w:cs="Arial"/>
          <w:color w:val="000000"/>
          <w:u w:val="single"/>
        </w:rPr>
        <w:t>Diferencial de Participación.</w:t>
      </w:r>
      <w:r w:rsidRPr="00197AF3">
        <w:rPr>
          <w:rFonts w:ascii="Arial" w:hAnsi="Arial" w:cs="Arial"/>
          <w:color w:val="000000"/>
        </w:rPr>
        <w:t xml:space="preserve"> Es la diferencia presentada entre el Ingreso al Productor y el Precio de Paridad Internacional, cuando el primero es mayor que el segundo en la fecha de emisión de la factura de venta, multiplicada por el volumen de combustible vendido; </w:t>
      </w:r>
    </w:p>
    <w:p w:rsidR="00197AF3" w:rsidRPr="00197AF3" w:rsidRDefault="00197AF3" w:rsidP="00C31D20">
      <w:pPr>
        <w:spacing w:line="254" w:lineRule="atLeast"/>
        <w:contextualSpacing/>
        <w:jc w:val="both"/>
        <w:rPr>
          <w:rFonts w:ascii="Arial" w:hAnsi="Arial" w:cs="Arial"/>
          <w:color w:val="000000"/>
        </w:rPr>
      </w:pPr>
      <w:r w:rsidRPr="00197AF3">
        <w:rPr>
          <w:rFonts w:ascii="Arial" w:hAnsi="Arial" w:cs="Arial"/>
          <w:color w:val="000000"/>
        </w:rPr>
        <w:t>  </w:t>
      </w:r>
    </w:p>
    <w:p w:rsidR="00375980" w:rsidRPr="00197AF3" w:rsidRDefault="00375980" w:rsidP="00C31D20">
      <w:pPr>
        <w:contextualSpacing/>
        <w:jc w:val="both"/>
        <w:rPr>
          <w:rFonts w:ascii="Arial" w:hAnsi="Arial" w:cs="Arial"/>
        </w:rPr>
      </w:pPr>
      <w:r w:rsidRPr="00197AF3">
        <w:rPr>
          <w:rFonts w:ascii="Arial" w:hAnsi="Arial" w:cs="Arial"/>
          <w:u w:val="single"/>
        </w:rPr>
        <w:t>Combustibles líquidos derivados de petróleo</w:t>
      </w:r>
      <w:r w:rsidR="00197AF3">
        <w:rPr>
          <w:rFonts w:ascii="Arial" w:hAnsi="Arial" w:cs="Arial"/>
          <w:u w:val="single"/>
        </w:rPr>
        <w:t>.</w:t>
      </w:r>
      <w:r w:rsidRPr="00197AF3">
        <w:rPr>
          <w:rFonts w:ascii="Arial" w:hAnsi="Arial" w:cs="Arial"/>
        </w:rPr>
        <w:t xml:space="preserve"> Son todos los productos clasificables dentro de las categorías de las gasolinas, gasóleos, querosenes y fuelóleos, entre los cuales se cuentan: Combustibles para aviación (avigás), combustibles de aviación para motores tipo turbina, gasolina motor (gasolina extra, gasolina corriente, y sus mezclas con etanol), diésel y sus mezclas con biocombustibles, diésel marino (se conoce también con los siguientes nombres: diésel fluvial, marine diésel, gas oil, intersol, diésel número 2), queroseno, y combustible para quemadores industriales (combustóleos-fuel oil). </w:t>
      </w:r>
    </w:p>
    <w:p w:rsidR="003F5900" w:rsidRDefault="003F5900" w:rsidP="00C31D20">
      <w:pPr>
        <w:contextualSpacing/>
        <w:jc w:val="both"/>
        <w:rPr>
          <w:rFonts w:ascii="Arial" w:hAnsi="Arial" w:cs="Arial"/>
          <w:b/>
          <w:bCs/>
          <w:color w:val="000000" w:themeColor="text1"/>
        </w:rPr>
      </w:pPr>
    </w:p>
    <w:p w:rsidR="00F31CCC" w:rsidRPr="00197AF3" w:rsidRDefault="00F31CCC" w:rsidP="00C31D20">
      <w:pPr>
        <w:contextualSpacing/>
        <w:jc w:val="both"/>
        <w:rPr>
          <w:rFonts w:ascii="Arial" w:hAnsi="Arial" w:cs="Arial"/>
          <w:color w:val="000000" w:themeColor="text1"/>
        </w:rPr>
      </w:pPr>
      <w:r w:rsidRPr="00197AF3">
        <w:rPr>
          <w:rFonts w:ascii="Arial" w:hAnsi="Arial" w:cs="Arial"/>
          <w:b/>
          <w:bCs/>
          <w:color w:val="000000" w:themeColor="text1"/>
        </w:rPr>
        <w:t xml:space="preserve">Artículo </w:t>
      </w:r>
      <w:r w:rsidR="003F5900">
        <w:rPr>
          <w:rFonts w:ascii="Arial" w:hAnsi="Arial" w:cs="Arial"/>
          <w:b/>
          <w:bCs/>
          <w:color w:val="000000" w:themeColor="text1"/>
        </w:rPr>
        <w:t>4</w:t>
      </w:r>
      <w:r w:rsidRPr="00197AF3">
        <w:rPr>
          <w:rFonts w:ascii="Arial" w:hAnsi="Arial" w:cs="Arial"/>
          <w:b/>
          <w:bCs/>
          <w:color w:val="000000" w:themeColor="text1"/>
        </w:rPr>
        <w:t>º.</w:t>
      </w:r>
      <w:r w:rsidRPr="00197AF3">
        <w:rPr>
          <w:rFonts w:ascii="Arial" w:hAnsi="Arial" w:cs="Arial"/>
          <w:color w:val="000000" w:themeColor="text1"/>
        </w:rPr>
        <w:t> </w:t>
      </w:r>
      <w:r w:rsidR="003F5900" w:rsidRPr="00197AF3">
        <w:rPr>
          <w:rFonts w:ascii="Arial" w:hAnsi="Arial" w:cs="Arial"/>
          <w:b/>
          <w:bCs/>
          <w:color w:val="000000" w:themeColor="text1"/>
        </w:rPr>
        <w:t>Única</w:t>
      </w:r>
      <w:r w:rsidR="00F06A1C" w:rsidRPr="00197AF3">
        <w:rPr>
          <w:rFonts w:ascii="Arial" w:hAnsi="Arial" w:cs="Arial"/>
          <w:color w:val="000000" w:themeColor="text1"/>
        </w:rPr>
        <w:t xml:space="preserve"> </w:t>
      </w:r>
      <w:r w:rsidR="00F06A1C" w:rsidRPr="00197AF3">
        <w:rPr>
          <w:rFonts w:ascii="Arial" w:hAnsi="Arial" w:cs="Arial"/>
          <w:b/>
          <w:bCs/>
          <w:color w:val="000000" w:themeColor="text1"/>
        </w:rPr>
        <w:t>Metodologia Para El Calculo Del Ingreso Al Productor</w:t>
      </w:r>
      <w:r w:rsidR="00EA73B0">
        <w:rPr>
          <w:rFonts w:ascii="Arial" w:hAnsi="Arial" w:cs="Arial"/>
          <w:b/>
          <w:bCs/>
          <w:color w:val="000000" w:themeColor="text1"/>
        </w:rPr>
        <w:t xml:space="preserve"> y El valor de Referencia</w:t>
      </w:r>
      <w:r w:rsidR="00691388" w:rsidRPr="00197AF3">
        <w:rPr>
          <w:rFonts w:ascii="Arial" w:hAnsi="Arial" w:cs="Arial"/>
          <w:b/>
          <w:bCs/>
          <w:color w:val="000000" w:themeColor="text1"/>
        </w:rPr>
        <w:t>:</w:t>
      </w:r>
      <w:r w:rsidR="00691388" w:rsidRPr="00197AF3">
        <w:rPr>
          <w:rFonts w:ascii="Arial" w:hAnsi="Arial" w:cs="Arial"/>
          <w:color w:val="000000" w:themeColor="text1"/>
        </w:rPr>
        <w:t xml:space="preserve"> </w:t>
      </w:r>
      <w:r w:rsidRPr="00197AF3">
        <w:rPr>
          <w:rFonts w:ascii="Arial" w:hAnsi="Arial" w:cs="Arial"/>
          <w:color w:val="000000" w:themeColor="text1"/>
        </w:rPr>
        <w:t xml:space="preserve">A </w:t>
      </w:r>
      <w:r w:rsidR="00691388" w:rsidRPr="00197AF3">
        <w:rPr>
          <w:rFonts w:ascii="Arial" w:hAnsi="Arial" w:cs="Arial"/>
          <w:color w:val="000000" w:themeColor="text1"/>
        </w:rPr>
        <w:t xml:space="preserve">partir de la publicacion de esta Ley la unica </w:t>
      </w:r>
      <w:r w:rsidRPr="00197AF3">
        <w:rPr>
          <w:rFonts w:ascii="Arial" w:hAnsi="Arial" w:cs="Arial"/>
          <w:color w:val="000000" w:themeColor="text1"/>
        </w:rPr>
        <w:t xml:space="preserve">metodología para el cálculo del Ingreso al Productor de la Gasolina Motor </w:t>
      </w:r>
      <w:r w:rsidR="00691388" w:rsidRPr="00197AF3">
        <w:rPr>
          <w:rFonts w:ascii="Arial" w:hAnsi="Arial" w:cs="Arial"/>
          <w:color w:val="000000" w:themeColor="text1"/>
        </w:rPr>
        <w:t>y ACPM</w:t>
      </w:r>
      <w:r w:rsidR="00EA73B0">
        <w:rPr>
          <w:rFonts w:ascii="Arial" w:hAnsi="Arial" w:cs="Arial"/>
          <w:color w:val="000000" w:themeColor="text1"/>
        </w:rPr>
        <w:t xml:space="preserve"> y el valor de referencia</w:t>
      </w:r>
      <w:r w:rsidRPr="00197AF3">
        <w:rPr>
          <w:rFonts w:ascii="Arial" w:hAnsi="Arial" w:cs="Arial"/>
          <w:color w:val="000000" w:themeColor="text1"/>
        </w:rPr>
        <w:t>, se tendrán en cuenta las siguientes fórmulas: </w:t>
      </w:r>
    </w:p>
    <w:p w:rsidR="006261F6" w:rsidRPr="003F5900" w:rsidRDefault="00F31CCC" w:rsidP="00C31D20">
      <w:pPr>
        <w:contextualSpacing/>
        <w:jc w:val="both"/>
        <w:rPr>
          <w:rFonts w:ascii="Arial" w:hAnsi="Arial" w:cs="Arial"/>
          <w:color w:val="000000" w:themeColor="text1"/>
        </w:rPr>
      </w:pPr>
      <w:r w:rsidRPr="00197AF3">
        <w:rPr>
          <w:rFonts w:ascii="Arial" w:hAnsi="Arial" w:cs="Arial"/>
          <w:color w:val="000000" w:themeColor="text1"/>
        </w:rPr>
        <w:t>  </w:t>
      </w:r>
    </w:p>
    <w:p w:rsidR="008230BC" w:rsidRDefault="003F5900" w:rsidP="00C31D20">
      <w:pPr>
        <w:contextualSpacing/>
        <w:jc w:val="both"/>
        <w:rPr>
          <w:rFonts w:ascii="Arial" w:hAnsi="Arial" w:cs="Arial"/>
          <w:color w:val="000000"/>
        </w:rPr>
      </w:pPr>
      <w:r>
        <w:rPr>
          <w:rFonts w:ascii="Arial" w:hAnsi="Arial" w:cs="Arial"/>
          <w:b/>
          <w:bCs/>
          <w:color w:val="000000" w:themeColor="text1"/>
          <w:u w:val="single"/>
        </w:rPr>
        <w:t>Articulo 4</w:t>
      </w:r>
      <w:r w:rsidR="006A788C" w:rsidRPr="00197AF3">
        <w:rPr>
          <w:rFonts w:ascii="Arial" w:hAnsi="Arial" w:cs="Arial"/>
          <w:b/>
          <w:bCs/>
          <w:color w:val="000000" w:themeColor="text1"/>
          <w:u w:val="single"/>
        </w:rPr>
        <w:t>.1º.</w:t>
      </w:r>
      <w:r w:rsidR="006A788C" w:rsidRPr="00197AF3">
        <w:rPr>
          <w:rFonts w:ascii="Arial" w:hAnsi="Arial" w:cs="Arial"/>
          <w:color w:val="000000" w:themeColor="text1"/>
          <w:u w:val="single"/>
        </w:rPr>
        <w:t> </w:t>
      </w:r>
      <w:r w:rsidR="00EA73B0" w:rsidRPr="00EA73B0">
        <w:rPr>
          <w:rFonts w:ascii="Arial" w:hAnsi="Arial" w:cs="Arial"/>
          <w:b/>
          <w:color w:val="000000" w:themeColor="text1"/>
          <w:u w:val="single"/>
        </w:rPr>
        <w:t xml:space="preserve">Ingreso al productor de </w:t>
      </w:r>
      <w:r w:rsidR="00F06A1C" w:rsidRPr="00EA73B0">
        <w:rPr>
          <w:rFonts w:ascii="Arial" w:hAnsi="Arial" w:cs="Arial"/>
          <w:b/>
          <w:bCs/>
          <w:color w:val="000000" w:themeColor="text1"/>
          <w:u w:val="single"/>
        </w:rPr>
        <w:t>Gasolina</w:t>
      </w:r>
      <w:r w:rsidR="00F06A1C" w:rsidRPr="00197AF3">
        <w:rPr>
          <w:rFonts w:ascii="Arial" w:hAnsi="Arial" w:cs="Arial"/>
          <w:b/>
          <w:bCs/>
          <w:color w:val="000000" w:themeColor="text1"/>
          <w:u w:val="single"/>
        </w:rPr>
        <w:t xml:space="preserve"> Motor Corriente</w:t>
      </w:r>
      <w:r w:rsidR="008230BC" w:rsidRPr="00197AF3">
        <w:rPr>
          <w:rFonts w:ascii="Arial" w:hAnsi="Arial" w:cs="Arial"/>
          <w:b/>
          <w:bCs/>
          <w:color w:val="000000" w:themeColor="text1"/>
          <w:u w:val="single"/>
        </w:rPr>
        <w:t xml:space="preserve">: </w:t>
      </w:r>
      <w:r w:rsidRPr="000810F8">
        <w:rPr>
          <w:rFonts w:ascii="Arial" w:hAnsi="Arial" w:cs="Arial"/>
          <w:bCs/>
          <w:color w:val="000000" w:themeColor="text1"/>
        </w:rPr>
        <w:t xml:space="preserve">El cual será publicado </w:t>
      </w:r>
      <w:r w:rsidR="000810F8" w:rsidRPr="000810F8">
        <w:rPr>
          <w:rFonts w:ascii="Arial" w:hAnsi="Arial" w:cs="Arial"/>
          <w:bCs/>
          <w:color w:val="000000" w:themeColor="text1"/>
        </w:rPr>
        <w:t xml:space="preserve">mes a mes según las normas de </w:t>
      </w:r>
      <w:r w:rsidR="000810F8" w:rsidRPr="000810F8">
        <w:rPr>
          <w:rFonts w:ascii="Arial" w:hAnsi="Arial" w:cs="Arial"/>
          <w:color w:val="000000"/>
        </w:rPr>
        <w:t xml:space="preserve">Transparencia y del Derecho de Acceso a la Información Pública Nacional, con el fin de que sea de </w:t>
      </w:r>
      <w:r w:rsidR="000810F8">
        <w:rPr>
          <w:rFonts w:ascii="Arial" w:hAnsi="Arial" w:cs="Arial"/>
          <w:color w:val="000000"/>
        </w:rPr>
        <w:t xml:space="preserve">pública y de </w:t>
      </w:r>
      <w:r w:rsidR="000810F8" w:rsidRPr="000810F8">
        <w:rPr>
          <w:rFonts w:ascii="Arial" w:hAnsi="Arial" w:cs="Arial"/>
          <w:color w:val="000000"/>
        </w:rPr>
        <w:t xml:space="preserve">fácil acceso para la comunidad. </w:t>
      </w:r>
    </w:p>
    <w:p w:rsidR="000810F8" w:rsidRPr="003F5900" w:rsidRDefault="000810F8" w:rsidP="00C31D20">
      <w:pPr>
        <w:contextualSpacing/>
        <w:jc w:val="both"/>
        <w:rPr>
          <w:rFonts w:ascii="Arial" w:hAnsi="Arial" w:cs="Arial"/>
          <w:bCs/>
          <w:color w:val="000000" w:themeColor="text1"/>
        </w:rPr>
      </w:pPr>
    </w:p>
    <w:p w:rsidR="00F31CCC" w:rsidRPr="00197AF3" w:rsidRDefault="00F31CCC" w:rsidP="00C31D20">
      <w:pPr>
        <w:contextualSpacing/>
        <w:jc w:val="both"/>
        <w:rPr>
          <w:rFonts w:ascii="Arial" w:hAnsi="Arial" w:cs="Arial"/>
          <w:color w:val="000000" w:themeColor="text1"/>
        </w:rPr>
      </w:pPr>
      <w:r w:rsidRPr="00197AF3">
        <w:rPr>
          <w:rFonts w:ascii="Arial" w:hAnsi="Arial" w:cs="Arial"/>
          <w:b/>
          <w:bCs/>
          <w:color w:val="000000" w:themeColor="text1"/>
        </w:rPr>
        <w:t>Fecha de Cálculo - FC:</w:t>
      </w:r>
      <w:r w:rsidRPr="00197AF3">
        <w:rPr>
          <w:rFonts w:ascii="Arial" w:hAnsi="Arial" w:cs="Arial"/>
          <w:color w:val="000000" w:themeColor="text1"/>
        </w:rPr>
        <w:t> Corresponde al último día hábil de cada mes, es decir, el anterior al primer día calendario del mes siguiente, si tal día no es festivo. </w:t>
      </w:r>
    </w:p>
    <w:p w:rsidR="00F31CCC" w:rsidRPr="00197AF3" w:rsidRDefault="00F31CCC" w:rsidP="00C31D20">
      <w:pPr>
        <w:contextualSpacing/>
        <w:jc w:val="both"/>
        <w:rPr>
          <w:rFonts w:ascii="Arial" w:hAnsi="Arial" w:cs="Arial"/>
          <w:color w:val="000000" w:themeColor="text1"/>
        </w:rPr>
      </w:pPr>
      <w:r w:rsidRPr="00197AF3">
        <w:rPr>
          <w:rFonts w:ascii="Arial" w:hAnsi="Arial" w:cs="Arial"/>
          <w:color w:val="000000" w:themeColor="text1"/>
        </w:rPr>
        <w:t>  </w:t>
      </w:r>
    </w:p>
    <w:p w:rsidR="00F31CCC" w:rsidRPr="00197AF3" w:rsidRDefault="00F31CCC" w:rsidP="00C31D20">
      <w:pPr>
        <w:contextualSpacing/>
        <w:jc w:val="both"/>
        <w:rPr>
          <w:rFonts w:ascii="Arial" w:hAnsi="Arial" w:cs="Arial"/>
          <w:color w:val="000000" w:themeColor="text1"/>
        </w:rPr>
      </w:pPr>
      <w:r w:rsidRPr="00197AF3">
        <w:rPr>
          <w:rFonts w:ascii="Arial" w:hAnsi="Arial" w:cs="Arial"/>
          <w:b/>
          <w:bCs/>
          <w:color w:val="000000" w:themeColor="text1"/>
        </w:rPr>
        <w:t>Ingreso al Productor vigente - IP:</w:t>
      </w:r>
      <w:r w:rsidRPr="00197AF3">
        <w:rPr>
          <w:rFonts w:ascii="Arial" w:hAnsi="Arial" w:cs="Arial"/>
          <w:color w:val="000000" w:themeColor="text1"/>
        </w:rPr>
        <w:t xml:space="preserve"> Corresponde al valor establecido por el Ministerio de </w:t>
      </w:r>
      <w:r w:rsidR="00691388" w:rsidRPr="00197AF3">
        <w:rPr>
          <w:rFonts w:ascii="Arial" w:hAnsi="Arial" w:cs="Arial"/>
          <w:color w:val="000000" w:themeColor="text1"/>
        </w:rPr>
        <w:t xml:space="preserve">Hacienda y </w:t>
      </w:r>
      <w:r w:rsidR="003F5900" w:rsidRPr="00197AF3">
        <w:rPr>
          <w:rFonts w:ascii="Arial" w:hAnsi="Arial" w:cs="Arial"/>
          <w:color w:val="000000" w:themeColor="text1"/>
        </w:rPr>
        <w:t>Crédito</w:t>
      </w:r>
      <w:r w:rsidR="00691388" w:rsidRPr="00197AF3">
        <w:rPr>
          <w:rFonts w:ascii="Arial" w:hAnsi="Arial" w:cs="Arial"/>
          <w:color w:val="000000" w:themeColor="text1"/>
        </w:rPr>
        <w:t xml:space="preserve"> </w:t>
      </w:r>
      <w:r w:rsidR="000810F8" w:rsidRPr="00197AF3">
        <w:rPr>
          <w:rFonts w:ascii="Arial" w:hAnsi="Arial" w:cs="Arial"/>
          <w:color w:val="000000" w:themeColor="text1"/>
        </w:rPr>
        <w:t>Público</w:t>
      </w:r>
      <w:r w:rsidR="000810F8">
        <w:rPr>
          <w:rFonts w:ascii="Arial" w:hAnsi="Arial" w:cs="Arial"/>
          <w:color w:val="000000" w:themeColor="text1"/>
        </w:rPr>
        <w:t xml:space="preserve">, </w:t>
      </w:r>
      <w:r w:rsidR="003F5900">
        <w:rPr>
          <w:rFonts w:ascii="Arial" w:hAnsi="Arial" w:cs="Arial"/>
          <w:color w:val="000000" w:themeColor="text1"/>
        </w:rPr>
        <w:t>revisado y verificado por</w:t>
      </w:r>
      <w:r w:rsidR="00B23CBA" w:rsidRPr="00197AF3">
        <w:rPr>
          <w:rFonts w:ascii="Arial" w:hAnsi="Arial" w:cs="Arial"/>
          <w:color w:val="000000" w:themeColor="text1"/>
        </w:rPr>
        <w:t xml:space="preserve"> el Observatorio de Control y Vigilancia de las Finanzas y las Políticas Públicas</w:t>
      </w:r>
      <w:r w:rsidR="00B23CBA" w:rsidRPr="00197AF3">
        <w:rPr>
          <w:rFonts w:ascii="Arial" w:hAnsi="Arial" w:cs="Arial"/>
          <w:b/>
          <w:bCs/>
          <w:color w:val="000000" w:themeColor="text1"/>
        </w:rPr>
        <w:t xml:space="preserve"> - </w:t>
      </w:r>
      <w:r w:rsidR="00B23CBA" w:rsidRPr="00197AF3">
        <w:rPr>
          <w:rFonts w:ascii="Arial" w:hAnsi="Arial" w:cs="Arial"/>
          <w:color w:val="000000" w:themeColor="text1"/>
          <w:shd w:val="clear" w:color="auto" w:fill="FFFFFF"/>
        </w:rPr>
        <w:t>Contraloría General de la República</w:t>
      </w:r>
      <w:r w:rsidRPr="00197AF3">
        <w:rPr>
          <w:rFonts w:ascii="Arial" w:hAnsi="Arial" w:cs="Arial"/>
          <w:color w:val="000000" w:themeColor="text1"/>
        </w:rPr>
        <w:t>, para el Ingreso al Productor por galón de Gasolina Motor dentro de la estructura de precios para el mes en curso. </w:t>
      </w:r>
    </w:p>
    <w:p w:rsidR="00F31CCC" w:rsidRPr="00197AF3" w:rsidRDefault="00F31CCC" w:rsidP="00C31D20">
      <w:pPr>
        <w:contextualSpacing/>
        <w:jc w:val="both"/>
        <w:rPr>
          <w:rFonts w:ascii="Arial" w:hAnsi="Arial" w:cs="Arial"/>
          <w:color w:val="000000" w:themeColor="text1"/>
        </w:rPr>
      </w:pPr>
      <w:r w:rsidRPr="00197AF3">
        <w:rPr>
          <w:rFonts w:ascii="Arial" w:hAnsi="Arial" w:cs="Arial"/>
          <w:color w:val="000000" w:themeColor="text1"/>
        </w:rPr>
        <w:t>  </w:t>
      </w:r>
    </w:p>
    <w:p w:rsidR="00F31CCC" w:rsidRPr="00197AF3" w:rsidRDefault="00F31CCC" w:rsidP="00C31D20">
      <w:pPr>
        <w:contextualSpacing/>
        <w:jc w:val="both"/>
        <w:rPr>
          <w:rFonts w:ascii="Arial" w:hAnsi="Arial" w:cs="Arial"/>
          <w:color w:val="000000" w:themeColor="text1"/>
        </w:rPr>
      </w:pPr>
      <w:r w:rsidRPr="00197AF3">
        <w:rPr>
          <w:rFonts w:ascii="Arial" w:hAnsi="Arial" w:cs="Arial"/>
          <w:b/>
          <w:bCs/>
          <w:color w:val="000000" w:themeColor="text1"/>
        </w:rPr>
        <w:t xml:space="preserve">Precio Diario Paridad Exportación de la Gasolina Motor Corriente de Producción Nacional </w:t>
      </w:r>
      <w:r w:rsidR="00C70530" w:rsidRPr="00197AF3">
        <w:rPr>
          <w:rFonts w:ascii="Arial" w:hAnsi="Arial" w:cs="Arial"/>
          <w:b/>
          <w:bCs/>
          <w:color w:val="000000" w:themeColor="text1"/>
        </w:rPr>
        <w:t>–</w:t>
      </w:r>
      <w:r w:rsidR="00C70530" w:rsidRPr="00197AF3">
        <w:rPr>
          <w:rFonts w:ascii="Arial" w:hAnsi="Arial" w:cs="Arial"/>
          <w:color w:val="000000" w:themeColor="text1"/>
        </w:rPr>
        <w:t xml:space="preserve"> </w:t>
      </w:r>
      <w:r w:rsidR="00C70530" w:rsidRPr="00197AF3">
        <w:rPr>
          <w:rFonts w:ascii="Arial" w:hAnsi="Arial" w:cs="Arial"/>
          <w:b/>
          <w:bCs/>
          <w:color w:val="000000" w:themeColor="text1"/>
        </w:rPr>
        <w:t>PPE</w:t>
      </w:r>
      <w:r w:rsidR="00C70530" w:rsidRPr="00197AF3">
        <w:rPr>
          <w:rFonts w:ascii="Cambria Math" w:hAnsi="Cambria Math" w:cs="Cambria Math"/>
          <w:b/>
          <w:bCs/>
          <w:color w:val="000000" w:themeColor="text1"/>
        </w:rPr>
        <w:t>𝑡</w:t>
      </w:r>
      <w:r w:rsidR="00C70530" w:rsidRPr="00197AF3">
        <w:rPr>
          <w:rFonts w:ascii="Arial" w:hAnsi="Arial" w:cs="Arial"/>
          <w:b/>
          <w:bCs/>
          <w:color w:val="000000" w:themeColor="text1"/>
        </w:rPr>
        <w:t>:</w:t>
      </w:r>
      <w:r w:rsidR="00C70530" w:rsidRPr="00197AF3">
        <w:rPr>
          <w:rFonts w:ascii="Arial" w:hAnsi="Arial" w:cs="Arial"/>
          <w:color w:val="000000" w:themeColor="text1"/>
        </w:rPr>
        <w:t xml:space="preserve"> </w:t>
      </w:r>
      <w:r w:rsidRPr="00197AF3">
        <w:rPr>
          <w:rFonts w:ascii="Arial" w:hAnsi="Arial" w:cs="Arial"/>
          <w:color w:val="000000" w:themeColor="text1"/>
        </w:rPr>
        <w:t xml:space="preserve"> Corresponde al precio paridad exportación, referenciado al mercado del Golfo de los Estados Unidos de América, de cada observación diaria de la Gasolina Motor Corriente producida en Colombia y se </w:t>
      </w:r>
      <w:r w:rsidRPr="00197AF3">
        <w:rPr>
          <w:rFonts w:ascii="Arial" w:hAnsi="Arial" w:cs="Arial"/>
          <w:color w:val="000000" w:themeColor="text1"/>
        </w:rPr>
        <w:lastRenderedPageBreak/>
        <w:t>calculará con referencia al índice de la gasolina UNL 87 USGC y la Nafta USGC, mediante la siguiente fórmula: </w:t>
      </w:r>
    </w:p>
    <w:p w:rsidR="00F035B7" w:rsidRPr="00197AF3" w:rsidRDefault="00F035B7" w:rsidP="00C31D20">
      <w:pPr>
        <w:contextualSpacing/>
        <w:jc w:val="both"/>
        <w:rPr>
          <w:rFonts w:ascii="Arial" w:hAnsi="Arial" w:cs="Arial"/>
          <w:color w:val="000000" w:themeColor="text1"/>
        </w:rPr>
      </w:pPr>
    </w:p>
    <w:p w:rsidR="00F035B7" w:rsidRPr="00197AF3" w:rsidRDefault="00F035B7" w:rsidP="00C31D20">
      <w:pPr>
        <w:contextualSpacing/>
        <w:jc w:val="center"/>
        <w:rPr>
          <w:rFonts w:ascii="Arial" w:hAnsi="Arial" w:cs="Arial"/>
          <w:color w:val="000000" w:themeColor="text1"/>
        </w:rPr>
      </w:pPr>
      <w:r w:rsidRPr="00197AF3">
        <w:rPr>
          <w:rFonts w:ascii="Cambria Math" w:hAnsi="Cambria Math" w:cs="Cambria Math"/>
          <w:color w:val="000000" w:themeColor="text1"/>
        </w:rPr>
        <w:t>𝑃𝑃𝐸𝑡</w:t>
      </w:r>
      <w:r w:rsidRPr="00197AF3">
        <w:rPr>
          <w:rFonts w:ascii="Arial" w:hAnsi="Arial" w:cs="Arial"/>
          <w:color w:val="000000" w:themeColor="text1"/>
        </w:rPr>
        <w:t xml:space="preserve"> [ </w:t>
      </w:r>
      <w:r w:rsidRPr="00197AF3">
        <w:rPr>
          <w:rFonts w:ascii="Cambria Math" w:hAnsi="Cambria Math" w:cs="Cambria Math"/>
          <w:color w:val="000000" w:themeColor="text1"/>
        </w:rPr>
        <w:t>𝐶𝑂𝑃</w:t>
      </w:r>
      <w:r w:rsidRPr="00197AF3">
        <w:rPr>
          <w:rFonts w:ascii="Arial" w:hAnsi="Arial" w:cs="Arial"/>
          <w:color w:val="000000" w:themeColor="text1"/>
        </w:rPr>
        <w:t xml:space="preserve"> </w:t>
      </w:r>
      <w:r w:rsidRPr="00197AF3">
        <w:rPr>
          <w:rFonts w:ascii="Cambria Math" w:hAnsi="Cambria Math" w:cs="Cambria Math"/>
          <w:color w:val="000000" w:themeColor="text1"/>
        </w:rPr>
        <w:t>𝑔𝑎𝑙</w:t>
      </w:r>
      <w:r w:rsidRPr="00197AF3">
        <w:rPr>
          <w:rFonts w:ascii="Arial" w:hAnsi="Arial" w:cs="Arial"/>
          <w:color w:val="000000" w:themeColor="text1"/>
        </w:rPr>
        <w:t xml:space="preserve"> ] = [(0.7 </w:t>
      </w:r>
      <w:r w:rsidRPr="00197AF3">
        <w:rPr>
          <w:rFonts w:ascii="Cambria Math" w:hAnsi="Cambria Math" w:cs="Cambria Math"/>
          <w:color w:val="000000" w:themeColor="text1"/>
        </w:rPr>
        <w:t>∗</w:t>
      </w:r>
      <w:r w:rsidRPr="00197AF3">
        <w:rPr>
          <w:rFonts w:ascii="Arial" w:hAnsi="Arial" w:cs="Arial"/>
          <w:color w:val="000000" w:themeColor="text1"/>
        </w:rPr>
        <w:t xml:space="preserve"> </w:t>
      </w:r>
      <w:r w:rsidRPr="00197AF3">
        <w:rPr>
          <w:rFonts w:ascii="Cambria Math" w:hAnsi="Cambria Math" w:cs="Cambria Math"/>
          <w:color w:val="000000" w:themeColor="text1"/>
        </w:rPr>
        <w:t>𝑈𝑁𝐿</w:t>
      </w:r>
      <w:r w:rsidRPr="00197AF3">
        <w:rPr>
          <w:rFonts w:ascii="Arial" w:hAnsi="Arial" w:cs="Arial"/>
          <w:color w:val="000000" w:themeColor="text1"/>
        </w:rPr>
        <w:t>87</w:t>
      </w:r>
      <w:r w:rsidRPr="00197AF3">
        <w:rPr>
          <w:rFonts w:ascii="Cambria Math" w:hAnsi="Cambria Math" w:cs="Cambria Math"/>
          <w:color w:val="000000" w:themeColor="text1"/>
        </w:rPr>
        <w:t>𝑡</w:t>
      </w:r>
      <w:r w:rsidRPr="00197AF3">
        <w:rPr>
          <w:rFonts w:ascii="Arial" w:hAnsi="Arial" w:cs="Arial"/>
          <w:color w:val="000000" w:themeColor="text1"/>
        </w:rPr>
        <w:t xml:space="preserve"> + 0.3 </w:t>
      </w:r>
      <w:r w:rsidRPr="00197AF3">
        <w:rPr>
          <w:rFonts w:ascii="Cambria Math" w:hAnsi="Cambria Math" w:cs="Cambria Math"/>
          <w:color w:val="000000" w:themeColor="text1"/>
        </w:rPr>
        <w:t>∗</w:t>
      </w:r>
      <w:r w:rsidRPr="00197AF3">
        <w:rPr>
          <w:rFonts w:ascii="Arial" w:hAnsi="Arial" w:cs="Arial"/>
          <w:color w:val="000000" w:themeColor="text1"/>
        </w:rPr>
        <w:t xml:space="preserve"> </w:t>
      </w:r>
      <w:r w:rsidRPr="00197AF3">
        <w:rPr>
          <w:rFonts w:ascii="Cambria Math" w:hAnsi="Cambria Math" w:cs="Cambria Math"/>
          <w:color w:val="000000" w:themeColor="text1"/>
        </w:rPr>
        <w:t>𝑁𝑎𝑓𝑡𝑎𝑡</w:t>
      </w:r>
      <w:r w:rsidRPr="00197AF3">
        <w:rPr>
          <w:rFonts w:ascii="Arial" w:hAnsi="Arial" w:cs="Arial"/>
          <w:color w:val="000000" w:themeColor="text1"/>
        </w:rPr>
        <w:t xml:space="preserve"> ) − </w:t>
      </w:r>
      <w:r w:rsidRPr="00197AF3">
        <w:rPr>
          <w:rFonts w:ascii="Cambria Math" w:hAnsi="Cambria Math" w:cs="Cambria Math"/>
          <w:color w:val="000000" w:themeColor="text1"/>
        </w:rPr>
        <w:t>𝐹𝐿𝑡</w:t>
      </w:r>
      <w:r w:rsidRPr="00197AF3">
        <w:rPr>
          <w:rFonts w:ascii="Arial" w:hAnsi="Arial" w:cs="Arial"/>
          <w:color w:val="000000" w:themeColor="text1"/>
        </w:rPr>
        <w:t xml:space="preserve"> − </w:t>
      </w:r>
      <w:r w:rsidRPr="00197AF3">
        <w:rPr>
          <w:rFonts w:ascii="Cambria Math" w:hAnsi="Cambria Math" w:cs="Cambria Math"/>
          <w:color w:val="000000" w:themeColor="text1"/>
        </w:rPr>
        <w:t>𝐶𝑇𝑡</w:t>
      </w:r>
      <w:r w:rsidRPr="00197AF3">
        <w:rPr>
          <w:rFonts w:ascii="Arial" w:hAnsi="Arial" w:cs="Arial"/>
          <w:color w:val="000000" w:themeColor="text1"/>
        </w:rPr>
        <w:t xml:space="preserve"> ] </w:t>
      </w:r>
      <w:r w:rsidRPr="00197AF3">
        <w:rPr>
          <w:rFonts w:ascii="Cambria Math" w:hAnsi="Cambria Math" w:cs="Cambria Math"/>
          <w:color w:val="000000" w:themeColor="text1"/>
        </w:rPr>
        <w:t>∗</w:t>
      </w:r>
      <w:r w:rsidRPr="00197AF3">
        <w:rPr>
          <w:rFonts w:ascii="Arial" w:hAnsi="Arial" w:cs="Arial"/>
          <w:color w:val="000000" w:themeColor="text1"/>
        </w:rPr>
        <w:t xml:space="preserve"> </w:t>
      </w:r>
      <w:r w:rsidRPr="00197AF3">
        <w:rPr>
          <w:rFonts w:ascii="Cambria Math" w:hAnsi="Cambria Math" w:cs="Cambria Math"/>
          <w:color w:val="000000" w:themeColor="text1"/>
        </w:rPr>
        <w:t>𝑇𝑅𝑀</w:t>
      </w:r>
    </w:p>
    <w:p w:rsidR="00F035B7" w:rsidRPr="00197AF3" w:rsidRDefault="00F035B7" w:rsidP="00C31D20">
      <w:pPr>
        <w:contextualSpacing/>
        <w:jc w:val="both"/>
        <w:rPr>
          <w:rFonts w:ascii="Arial" w:hAnsi="Arial" w:cs="Arial"/>
          <w:color w:val="000000" w:themeColor="text1"/>
        </w:rPr>
      </w:pPr>
    </w:p>
    <w:p w:rsidR="00F035B7" w:rsidRPr="00197AF3" w:rsidRDefault="00F31CCC" w:rsidP="00C31D20">
      <w:pPr>
        <w:contextualSpacing/>
        <w:jc w:val="both"/>
        <w:rPr>
          <w:rFonts w:ascii="Arial" w:hAnsi="Arial" w:cs="Arial"/>
          <w:color w:val="000000" w:themeColor="text1"/>
        </w:rPr>
      </w:pPr>
      <w:r w:rsidRPr="00197AF3">
        <w:rPr>
          <w:rFonts w:ascii="Arial" w:hAnsi="Arial" w:cs="Arial"/>
          <w:color w:val="000000" w:themeColor="text1"/>
        </w:rPr>
        <w:t> Donde: </w:t>
      </w:r>
    </w:p>
    <w:tbl>
      <w:tblPr>
        <w:tblW w:w="0" w:type="auto"/>
        <w:tblCellSpacing w:w="0" w:type="dxa"/>
        <w:tblCellMar>
          <w:left w:w="0" w:type="dxa"/>
          <w:right w:w="0" w:type="dxa"/>
        </w:tblCellMar>
        <w:tblLook w:val="04A0" w:firstRow="1" w:lastRow="0" w:firstColumn="1" w:lastColumn="0" w:noHBand="0" w:noVBand="1"/>
      </w:tblPr>
      <w:tblGrid>
        <w:gridCol w:w="1455"/>
        <w:gridCol w:w="7613"/>
      </w:tblGrid>
      <w:tr w:rsidR="00F035B7" w:rsidRPr="00197AF3" w:rsidTr="00F31CCC">
        <w:trPr>
          <w:tblCellSpacing w:w="0" w:type="dxa"/>
        </w:trPr>
        <w:tc>
          <w:tcPr>
            <w:tcW w:w="1995" w:type="dxa"/>
            <w:tcMar>
              <w:top w:w="0" w:type="dxa"/>
              <w:left w:w="115" w:type="dxa"/>
              <w:bottom w:w="0" w:type="dxa"/>
              <w:right w:w="115" w:type="dxa"/>
            </w:tcMar>
            <w:hideMark/>
          </w:tcPr>
          <w:p w:rsidR="00F31CCC" w:rsidRPr="00197AF3" w:rsidRDefault="008E7C10" w:rsidP="00C31D20">
            <w:pPr>
              <w:spacing w:after="75"/>
              <w:contextualSpacing/>
              <w:jc w:val="both"/>
              <w:rPr>
                <w:rFonts w:ascii="Arial" w:hAnsi="Arial" w:cs="Arial"/>
                <w:color w:val="000000" w:themeColor="text1"/>
              </w:rPr>
            </w:pPr>
            <w:r w:rsidRPr="00197AF3">
              <w:rPr>
                <w:rFonts w:ascii="Arial" w:hAnsi="Arial" w:cs="Arial"/>
                <w:b/>
                <w:bCs/>
                <w:color w:val="000000" w:themeColor="text1"/>
              </w:rPr>
              <w:t>UNL87</w:t>
            </w:r>
            <w:r w:rsidRPr="00197AF3">
              <w:rPr>
                <w:rFonts w:ascii="Cambria Math" w:hAnsi="Cambria Math" w:cs="Cambria Math"/>
                <w:b/>
                <w:bCs/>
                <w:color w:val="000000" w:themeColor="text1"/>
              </w:rPr>
              <w:t>𝑡</w:t>
            </w:r>
            <w:r w:rsidRPr="00197AF3">
              <w:rPr>
                <w:rFonts w:ascii="Arial" w:hAnsi="Arial" w:cs="Arial"/>
                <w:b/>
                <w:bCs/>
                <w:color w:val="000000" w:themeColor="text1"/>
              </w:rPr>
              <w:t xml:space="preserve"> :</w:t>
            </w:r>
          </w:p>
        </w:tc>
        <w:tc>
          <w:tcPr>
            <w:tcW w:w="17805" w:type="dxa"/>
            <w:tcMar>
              <w:top w:w="0" w:type="dxa"/>
              <w:left w:w="115" w:type="dxa"/>
              <w:bottom w:w="0" w:type="dxa"/>
              <w:right w:w="115" w:type="dxa"/>
            </w:tcMar>
            <w:hideMark/>
          </w:tcPr>
          <w:p w:rsidR="00C70530" w:rsidRPr="00197AF3" w:rsidRDefault="00F31CCC" w:rsidP="00C31D20">
            <w:pPr>
              <w:spacing w:after="75"/>
              <w:contextualSpacing/>
              <w:jc w:val="both"/>
              <w:rPr>
                <w:rFonts w:ascii="Arial" w:hAnsi="Arial" w:cs="Arial"/>
                <w:color w:val="000000" w:themeColor="text1"/>
              </w:rPr>
            </w:pPr>
            <w:r w:rsidRPr="00197AF3">
              <w:rPr>
                <w:rFonts w:ascii="Arial" w:hAnsi="Arial" w:cs="Arial"/>
                <w:color w:val="000000" w:themeColor="text1"/>
              </w:rPr>
              <w:t>Corresponde a la cotización del índice UNL 87 (Ron 92) en la U.S. Gulf Coast Waterborne de la publicación PLATT's de Standard &amp; Poor's, expresado en dólares por galón (US$/Gal), en el día t.</w:t>
            </w:r>
          </w:p>
        </w:tc>
      </w:tr>
      <w:tr w:rsidR="00F035B7" w:rsidRPr="00197AF3" w:rsidTr="00F31CCC">
        <w:trPr>
          <w:tblCellSpacing w:w="0" w:type="dxa"/>
        </w:trPr>
        <w:tc>
          <w:tcPr>
            <w:tcW w:w="1995" w:type="dxa"/>
            <w:tcMar>
              <w:top w:w="0" w:type="dxa"/>
              <w:left w:w="115" w:type="dxa"/>
              <w:bottom w:w="0" w:type="dxa"/>
              <w:right w:w="115" w:type="dxa"/>
            </w:tcMar>
            <w:hideMark/>
          </w:tcPr>
          <w:p w:rsidR="00F31CCC" w:rsidRPr="00197AF3" w:rsidRDefault="008E7C10" w:rsidP="00C31D20">
            <w:pPr>
              <w:spacing w:after="75"/>
              <w:contextualSpacing/>
              <w:jc w:val="both"/>
              <w:rPr>
                <w:rFonts w:ascii="Arial" w:hAnsi="Arial" w:cs="Arial"/>
                <w:color w:val="000000" w:themeColor="text1"/>
              </w:rPr>
            </w:pPr>
            <w:r w:rsidRPr="00197AF3">
              <w:rPr>
                <w:rFonts w:ascii="Arial" w:hAnsi="Arial" w:cs="Arial"/>
                <w:b/>
                <w:bCs/>
                <w:color w:val="000000" w:themeColor="text1"/>
              </w:rPr>
              <w:t>NAFTA</w:t>
            </w:r>
            <w:r w:rsidRPr="00197AF3">
              <w:rPr>
                <w:rFonts w:ascii="Cambria Math" w:hAnsi="Cambria Math" w:cs="Cambria Math"/>
                <w:b/>
                <w:bCs/>
                <w:color w:val="000000" w:themeColor="text1"/>
              </w:rPr>
              <w:t>𝑡</w:t>
            </w:r>
            <w:r w:rsidRPr="00197AF3">
              <w:rPr>
                <w:rFonts w:ascii="Arial" w:hAnsi="Arial" w:cs="Arial"/>
                <w:b/>
                <w:bCs/>
                <w:color w:val="000000" w:themeColor="text1"/>
              </w:rPr>
              <w:t xml:space="preserve"> :</w:t>
            </w:r>
          </w:p>
        </w:tc>
        <w:tc>
          <w:tcPr>
            <w:tcW w:w="17805" w:type="dxa"/>
            <w:tcMar>
              <w:top w:w="0" w:type="dxa"/>
              <w:left w:w="115" w:type="dxa"/>
              <w:bottom w:w="0" w:type="dxa"/>
              <w:right w:w="115" w:type="dxa"/>
            </w:tcMar>
            <w:hideMark/>
          </w:tcPr>
          <w:p w:rsidR="00C70530" w:rsidRPr="00197AF3" w:rsidRDefault="00F31CCC" w:rsidP="00C31D20">
            <w:pPr>
              <w:spacing w:after="75"/>
              <w:contextualSpacing/>
              <w:jc w:val="both"/>
              <w:rPr>
                <w:rFonts w:ascii="Arial" w:hAnsi="Arial" w:cs="Arial"/>
                <w:color w:val="000000" w:themeColor="text1"/>
              </w:rPr>
            </w:pPr>
            <w:r w:rsidRPr="00197AF3">
              <w:rPr>
                <w:rFonts w:ascii="Arial" w:hAnsi="Arial" w:cs="Arial"/>
                <w:color w:val="000000" w:themeColor="text1"/>
              </w:rPr>
              <w:t>Corresponde a la cotización del índice de la Nafta en la Costa del Golfo de los Estados Unidos de la publicación PLATT's de Standard &amp; Poor's, expresado en dólares por galón (US$/Gal), en el día t.</w:t>
            </w:r>
          </w:p>
        </w:tc>
      </w:tr>
      <w:tr w:rsidR="00F035B7" w:rsidRPr="00197AF3" w:rsidTr="00F31CCC">
        <w:trPr>
          <w:tblCellSpacing w:w="0" w:type="dxa"/>
        </w:trPr>
        <w:tc>
          <w:tcPr>
            <w:tcW w:w="1995" w:type="dxa"/>
            <w:tcMar>
              <w:top w:w="0" w:type="dxa"/>
              <w:left w:w="115" w:type="dxa"/>
              <w:bottom w:w="0" w:type="dxa"/>
              <w:right w:w="115" w:type="dxa"/>
            </w:tcMar>
            <w:hideMark/>
          </w:tcPr>
          <w:p w:rsidR="00F31CCC" w:rsidRPr="00197AF3" w:rsidRDefault="008E7C10" w:rsidP="00C31D20">
            <w:pPr>
              <w:spacing w:after="75"/>
              <w:contextualSpacing/>
              <w:jc w:val="both"/>
              <w:rPr>
                <w:rFonts w:ascii="Arial" w:hAnsi="Arial" w:cs="Arial"/>
                <w:color w:val="000000" w:themeColor="text1"/>
              </w:rPr>
            </w:pPr>
            <w:r w:rsidRPr="00197AF3">
              <w:rPr>
                <w:rFonts w:ascii="Arial" w:hAnsi="Arial" w:cs="Arial"/>
                <w:b/>
                <w:bCs/>
                <w:color w:val="000000" w:themeColor="text1"/>
              </w:rPr>
              <w:t>FL</w:t>
            </w:r>
            <w:r w:rsidRPr="00197AF3">
              <w:rPr>
                <w:rFonts w:ascii="Cambria Math" w:hAnsi="Cambria Math" w:cs="Cambria Math"/>
                <w:b/>
                <w:bCs/>
                <w:color w:val="000000" w:themeColor="text1"/>
              </w:rPr>
              <w:t>𝑡</w:t>
            </w:r>
            <w:r w:rsidRPr="00197AF3">
              <w:rPr>
                <w:rFonts w:ascii="Arial" w:hAnsi="Arial" w:cs="Arial"/>
                <w:b/>
                <w:bCs/>
                <w:color w:val="000000" w:themeColor="text1"/>
              </w:rPr>
              <w:t>:</w:t>
            </w:r>
          </w:p>
        </w:tc>
        <w:tc>
          <w:tcPr>
            <w:tcW w:w="17805" w:type="dxa"/>
            <w:tcMar>
              <w:top w:w="0" w:type="dxa"/>
              <w:left w:w="115" w:type="dxa"/>
              <w:bottom w:w="0" w:type="dxa"/>
              <w:right w:w="115" w:type="dxa"/>
            </w:tcMar>
            <w:hideMark/>
          </w:tcPr>
          <w:p w:rsidR="008E7C10" w:rsidRPr="00197AF3" w:rsidRDefault="00F31CCC" w:rsidP="00C31D20">
            <w:pPr>
              <w:spacing w:after="75"/>
              <w:contextualSpacing/>
              <w:jc w:val="both"/>
              <w:rPr>
                <w:rFonts w:ascii="Arial" w:hAnsi="Arial" w:cs="Arial"/>
                <w:color w:val="000000" w:themeColor="text1"/>
              </w:rPr>
            </w:pPr>
            <w:r w:rsidRPr="00197AF3">
              <w:rPr>
                <w:rFonts w:ascii="Arial" w:hAnsi="Arial" w:cs="Arial"/>
                <w:color w:val="000000" w:themeColor="text1"/>
              </w:rPr>
              <w:t>Corresponde al costo de los fletes marítimos o terrestres y demás costos incurridos para transportar un galón de gasolina desde el puerto de exportación local de la Costa Colombiana hasta la Costa del Golfo de los Estados Unidos de América, expresado en dólares por galón (US$/ Galón), en el día t. Dicho valor será el que resulte de aplicar la siguiente fórmula:</w:t>
            </w:r>
          </w:p>
          <w:p w:rsidR="00F90048" w:rsidRDefault="00F90048" w:rsidP="00C31D20">
            <w:pPr>
              <w:spacing w:after="75"/>
              <w:contextualSpacing/>
              <w:jc w:val="center"/>
              <w:rPr>
                <w:rFonts w:ascii="Arial" w:hAnsi="Arial" w:cs="Arial"/>
                <w:color w:val="000000" w:themeColor="text1"/>
              </w:rPr>
            </w:pPr>
          </w:p>
          <w:p w:rsidR="00F035B7" w:rsidRPr="00197AF3" w:rsidRDefault="008E7C10" w:rsidP="00C31D20">
            <w:pPr>
              <w:spacing w:after="75"/>
              <w:contextualSpacing/>
              <w:jc w:val="center"/>
              <w:rPr>
                <w:rFonts w:ascii="Arial" w:hAnsi="Arial" w:cs="Arial"/>
                <w:color w:val="000000" w:themeColor="text1"/>
              </w:rPr>
            </w:pPr>
            <w:r w:rsidRPr="00197AF3">
              <w:rPr>
                <w:rFonts w:ascii="Arial" w:hAnsi="Arial" w:cs="Arial"/>
                <w:color w:val="000000" w:themeColor="text1"/>
              </w:rPr>
              <w:t>FL</w:t>
            </w:r>
            <w:r w:rsidRPr="00197AF3">
              <w:rPr>
                <w:rFonts w:ascii="Cambria Math" w:hAnsi="Cambria Math" w:cs="Cambria Math"/>
                <w:color w:val="000000" w:themeColor="text1"/>
              </w:rPr>
              <w:t>𝑡</w:t>
            </w:r>
            <w:r w:rsidRPr="00197AF3">
              <w:rPr>
                <w:rFonts w:ascii="Arial" w:hAnsi="Arial" w:cs="Arial"/>
                <w:color w:val="000000" w:themeColor="text1"/>
              </w:rPr>
              <w:t xml:space="preserve"> = [</w:t>
            </w:r>
            <w:r w:rsidR="00C70530" w:rsidRPr="00197AF3">
              <w:rPr>
                <w:rFonts w:ascii="Arial" w:hAnsi="Arial" w:cs="Arial"/>
                <w:color w:val="000000" w:themeColor="text1"/>
              </w:rPr>
              <w:t xml:space="preserve"> </w:t>
            </w:r>
            <w:r w:rsidRPr="00197AF3">
              <w:rPr>
                <w:rFonts w:ascii="Arial" w:hAnsi="Arial" w:cs="Arial"/>
                <w:color w:val="000000" w:themeColor="text1"/>
              </w:rPr>
              <w:t xml:space="preserve">Ws </w:t>
            </w:r>
            <w:r w:rsidRPr="00197AF3">
              <w:rPr>
                <w:rFonts w:ascii="Cambria Math" w:hAnsi="Cambria Math" w:cs="Cambria Math"/>
                <w:color w:val="000000" w:themeColor="text1"/>
              </w:rPr>
              <w:t>𝑡</w:t>
            </w:r>
            <w:r w:rsidRPr="00197AF3">
              <w:rPr>
                <w:rFonts w:ascii="Arial" w:hAnsi="Arial" w:cs="Arial"/>
                <w:color w:val="000000" w:themeColor="text1"/>
              </w:rPr>
              <w:t xml:space="preserve"> / (f * 42)] </w:t>
            </w:r>
            <w:r w:rsidR="00C70530" w:rsidRPr="00197AF3">
              <w:rPr>
                <w:rFonts w:ascii="Arial" w:hAnsi="Arial" w:cs="Arial"/>
                <w:color w:val="000000" w:themeColor="text1"/>
              </w:rPr>
              <w:t xml:space="preserve">* ( STR </w:t>
            </w:r>
            <w:r w:rsidR="00C70530" w:rsidRPr="00197AF3">
              <w:rPr>
                <w:rFonts w:ascii="Cambria Math" w:hAnsi="Cambria Math" w:cs="Cambria Math"/>
                <w:color w:val="000000" w:themeColor="text1"/>
              </w:rPr>
              <w:t>𝑡</w:t>
            </w:r>
            <w:r w:rsidR="00C70530" w:rsidRPr="00197AF3">
              <w:rPr>
                <w:rFonts w:ascii="Arial" w:hAnsi="Arial" w:cs="Arial"/>
                <w:color w:val="000000" w:themeColor="text1"/>
              </w:rPr>
              <w:t>/ 100)</w:t>
            </w:r>
          </w:p>
        </w:tc>
      </w:tr>
    </w:tbl>
    <w:p w:rsidR="00F31CCC" w:rsidRPr="00197AF3" w:rsidRDefault="00F31CCC" w:rsidP="00C31D20">
      <w:pPr>
        <w:contextualSpacing/>
        <w:jc w:val="center"/>
        <w:rPr>
          <w:rFonts w:ascii="Arial" w:hAnsi="Arial" w:cs="Arial"/>
          <w:color w:val="000000" w:themeColor="text1"/>
        </w:rPr>
      </w:pPr>
    </w:p>
    <w:p w:rsidR="00F31CCC" w:rsidRPr="00197AF3" w:rsidRDefault="00F31CCC" w:rsidP="00C31D20">
      <w:pPr>
        <w:contextualSpacing/>
        <w:jc w:val="both"/>
        <w:rPr>
          <w:rFonts w:ascii="Arial" w:hAnsi="Arial" w:cs="Arial"/>
          <w:color w:val="000000" w:themeColor="text1"/>
        </w:rPr>
      </w:pPr>
      <w:r w:rsidRPr="00197AF3">
        <w:rPr>
          <w:rFonts w:ascii="Arial" w:hAnsi="Arial" w:cs="Arial"/>
          <w:color w:val="000000" w:themeColor="text1"/>
        </w:rPr>
        <w:t>Donde: </w:t>
      </w:r>
    </w:p>
    <w:p w:rsidR="00C70530" w:rsidRPr="00197AF3" w:rsidRDefault="00C70530" w:rsidP="00C31D20">
      <w:pPr>
        <w:contextualSpacing/>
        <w:jc w:val="both"/>
        <w:rPr>
          <w:rFonts w:ascii="Arial" w:hAnsi="Arial" w:cs="Arial"/>
          <w:color w:val="000000" w:themeColor="text1"/>
        </w:rPr>
      </w:pPr>
    </w:p>
    <w:tbl>
      <w:tblPr>
        <w:tblW w:w="0" w:type="auto"/>
        <w:tblCellSpacing w:w="0" w:type="dxa"/>
        <w:tblCellMar>
          <w:left w:w="0" w:type="dxa"/>
          <w:right w:w="0" w:type="dxa"/>
        </w:tblCellMar>
        <w:tblLook w:val="04A0" w:firstRow="1" w:lastRow="0" w:firstColumn="1" w:lastColumn="0" w:noHBand="0" w:noVBand="1"/>
      </w:tblPr>
      <w:tblGrid>
        <w:gridCol w:w="1879"/>
        <w:gridCol w:w="7189"/>
      </w:tblGrid>
      <w:tr w:rsidR="00F035B7" w:rsidRPr="00197AF3" w:rsidTr="00F31CCC">
        <w:trPr>
          <w:tblCellSpacing w:w="0" w:type="dxa"/>
        </w:trPr>
        <w:tc>
          <w:tcPr>
            <w:tcW w:w="2580" w:type="dxa"/>
            <w:tcMar>
              <w:top w:w="0" w:type="dxa"/>
              <w:left w:w="115" w:type="dxa"/>
              <w:bottom w:w="0" w:type="dxa"/>
              <w:right w:w="115" w:type="dxa"/>
            </w:tcMar>
            <w:hideMark/>
          </w:tcPr>
          <w:p w:rsidR="00F31CCC" w:rsidRPr="00197AF3" w:rsidRDefault="00C70530" w:rsidP="00C31D20">
            <w:pPr>
              <w:spacing w:after="75"/>
              <w:contextualSpacing/>
              <w:jc w:val="both"/>
              <w:rPr>
                <w:rFonts w:ascii="Arial" w:hAnsi="Arial" w:cs="Arial"/>
                <w:b/>
                <w:bCs/>
                <w:color w:val="000000" w:themeColor="text1"/>
              </w:rPr>
            </w:pPr>
            <w:r w:rsidRPr="00197AF3">
              <w:rPr>
                <w:rFonts w:ascii="Arial" w:hAnsi="Arial" w:cs="Arial"/>
                <w:b/>
                <w:bCs/>
                <w:color w:val="000000" w:themeColor="text1"/>
              </w:rPr>
              <w:t xml:space="preserve">WS </w:t>
            </w:r>
            <w:r w:rsidRPr="00197AF3">
              <w:rPr>
                <w:rFonts w:ascii="Cambria Math" w:hAnsi="Cambria Math" w:cs="Cambria Math"/>
                <w:b/>
                <w:bCs/>
                <w:color w:val="000000" w:themeColor="text1"/>
              </w:rPr>
              <w:t>𝑡</w:t>
            </w:r>
            <w:r w:rsidRPr="00197AF3">
              <w:rPr>
                <w:rFonts w:ascii="Arial" w:hAnsi="Arial" w:cs="Arial"/>
                <w:b/>
                <w:bCs/>
                <w:color w:val="000000" w:themeColor="text1"/>
              </w:rPr>
              <w:t>:</w:t>
            </w:r>
          </w:p>
        </w:tc>
        <w:tc>
          <w:tcPr>
            <w:tcW w:w="17220" w:type="dxa"/>
            <w:tcMar>
              <w:top w:w="0" w:type="dxa"/>
              <w:left w:w="115" w:type="dxa"/>
              <w:bottom w:w="0" w:type="dxa"/>
              <w:right w:w="115" w:type="dxa"/>
            </w:tcMar>
            <w:hideMark/>
          </w:tcPr>
          <w:p w:rsidR="00C70530" w:rsidRPr="00197AF3" w:rsidRDefault="00F31CCC" w:rsidP="00C31D20">
            <w:pPr>
              <w:spacing w:after="75"/>
              <w:contextualSpacing/>
              <w:jc w:val="both"/>
              <w:rPr>
                <w:rFonts w:ascii="Arial" w:hAnsi="Arial" w:cs="Arial"/>
                <w:color w:val="000000" w:themeColor="text1"/>
              </w:rPr>
            </w:pPr>
            <w:r w:rsidRPr="00197AF3">
              <w:rPr>
                <w:rFonts w:ascii="Arial" w:hAnsi="Arial" w:cs="Arial"/>
                <w:color w:val="000000" w:themeColor="text1"/>
              </w:rPr>
              <w:t>Corresponde a la cotización diaria del flete de referencia de la ruta Houston-Pozos Colorados, publicado por el Worlwide Tanker Nominal Freight Scale "Worldscale", expresado en dólares por tonelada métrica, en el día t.</w:t>
            </w:r>
          </w:p>
        </w:tc>
      </w:tr>
      <w:tr w:rsidR="00F035B7" w:rsidRPr="00197AF3" w:rsidTr="00F31CCC">
        <w:trPr>
          <w:tblCellSpacing w:w="0" w:type="dxa"/>
        </w:trPr>
        <w:tc>
          <w:tcPr>
            <w:tcW w:w="2580" w:type="dxa"/>
            <w:tcMar>
              <w:top w:w="0" w:type="dxa"/>
              <w:left w:w="115" w:type="dxa"/>
              <w:bottom w:w="0" w:type="dxa"/>
              <w:right w:w="115" w:type="dxa"/>
            </w:tcMar>
            <w:hideMark/>
          </w:tcPr>
          <w:p w:rsidR="00F31CCC" w:rsidRPr="00197AF3" w:rsidRDefault="00C70530" w:rsidP="00C31D20">
            <w:pPr>
              <w:spacing w:after="75"/>
              <w:contextualSpacing/>
              <w:jc w:val="both"/>
              <w:rPr>
                <w:rFonts w:ascii="Arial" w:hAnsi="Arial" w:cs="Arial"/>
                <w:color w:val="000000" w:themeColor="text1"/>
              </w:rPr>
            </w:pPr>
            <w:r w:rsidRPr="00197AF3">
              <w:rPr>
                <w:rFonts w:ascii="Arial" w:hAnsi="Arial" w:cs="Arial"/>
                <w:b/>
                <w:bCs/>
                <w:color w:val="000000" w:themeColor="text1"/>
              </w:rPr>
              <w:t>F</w:t>
            </w:r>
            <w:r w:rsidR="00F31CCC" w:rsidRPr="00197AF3">
              <w:rPr>
                <w:rFonts w:ascii="Arial" w:hAnsi="Arial" w:cs="Arial"/>
                <w:b/>
                <w:bCs/>
                <w:color w:val="000000" w:themeColor="text1"/>
              </w:rPr>
              <w:t>:</w:t>
            </w:r>
          </w:p>
        </w:tc>
        <w:tc>
          <w:tcPr>
            <w:tcW w:w="17220" w:type="dxa"/>
            <w:tcMar>
              <w:top w:w="0" w:type="dxa"/>
              <w:left w:w="115" w:type="dxa"/>
              <w:bottom w:w="0" w:type="dxa"/>
              <w:right w:w="115" w:type="dxa"/>
            </w:tcMar>
            <w:hideMark/>
          </w:tcPr>
          <w:p w:rsidR="00C70530" w:rsidRPr="00197AF3" w:rsidRDefault="00F31CCC" w:rsidP="00C31D20">
            <w:pPr>
              <w:spacing w:after="75"/>
              <w:contextualSpacing/>
              <w:jc w:val="both"/>
              <w:rPr>
                <w:rFonts w:ascii="Arial" w:hAnsi="Arial" w:cs="Arial"/>
                <w:color w:val="000000" w:themeColor="text1"/>
              </w:rPr>
            </w:pPr>
            <w:r w:rsidRPr="00197AF3">
              <w:rPr>
                <w:rFonts w:ascii="Arial" w:hAnsi="Arial" w:cs="Arial"/>
                <w:color w:val="000000" w:themeColor="text1"/>
              </w:rPr>
              <w:t>Factor de conversión de Toneladas Métricas a Barriles. Para el caso de la Gasolina Motor Corriente colombiana este factor de conversión es de 8.535 a 60° API.</w:t>
            </w:r>
          </w:p>
        </w:tc>
      </w:tr>
      <w:tr w:rsidR="00F035B7" w:rsidRPr="00197AF3" w:rsidTr="00F31CCC">
        <w:trPr>
          <w:tblCellSpacing w:w="0" w:type="dxa"/>
        </w:trPr>
        <w:tc>
          <w:tcPr>
            <w:tcW w:w="2580" w:type="dxa"/>
            <w:tcMar>
              <w:top w:w="0" w:type="dxa"/>
              <w:left w:w="115" w:type="dxa"/>
              <w:bottom w:w="0" w:type="dxa"/>
              <w:right w:w="115" w:type="dxa"/>
            </w:tcMar>
            <w:hideMark/>
          </w:tcPr>
          <w:p w:rsidR="00F31CCC" w:rsidRPr="00197AF3" w:rsidRDefault="00F31CCC" w:rsidP="00C31D20">
            <w:pPr>
              <w:spacing w:after="75"/>
              <w:contextualSpacing/>
              <w:jc w:val="both"/>
              <w:rPr>
                <w:rFonts w:ascii="Arial" w:hAnsi="Arial" w:cs="Arial"/>
                <w:color w:val="000000" w:themeColor="text1"/>
              </w:rPr>
            </w:pPr>
            <w:r w:rsidRPr="00197AF3">
              <w:rPr>
                <w:rFonts w:ascii="Arial" w:hAnsi="Arial" w:cs="Arial"/>
                <w:b/>
                <w:bCs/>
                <w:color w:val="000000" w:themeColor="text1"/>
              </w:rPr>
              <w:t>42:</w:t>
            </w:r>
          </w:p>
        </w:tc>
        <w:tc>
          <w:tcPr>
            <w:tcW w:w="17220" w:type="dxa"/>
            <w:tcMar>
              <w:top w:w="0" w:type="dxa"/>
              <w:left w:w="115" w:type="dxa"/>
              <w:bottom w:w="0" w:type="dxa"/>
              <w:right w:w="115" w:type="dxa"/>
            </w:tcMar>
            <w:hideMark/>
          </w:tcPr>
          <w:p w:rsidR="00C70530" w:rsidRPr="00197AF3" w:rsidRDefault="00F31CCC" w:rsidP="00C31D20">
            <w:pPr>
              <w:spacing w:after="75"/>
              <w:contextualSpacing/>
              <w:jc w:val="both"/>
              <w:rPr>
                <w:rFonts w:ascii="Arial" w:hAnsi="Arial" w:cs="Arial"/>
                <w:color w:val="000000" w:themeColor="text1"/>
              </w:rPr>
            </w:pPr>
            <w:r w:rsidRPr="00197AF3">
              <w:rPr>
                <w:rFonts w:ascii="Arial" w:hAnsi="Arial" w:cs="Arial"/>
                <w:color w:val="000000" w:themeColor="text1"/>
              </w:rPr>
              <w:t>Factor de conversión de barril a galón.</w:t>
            </w:r>
          </w:p>
        </w:tc>
      </w:tr>
      <w:tr w:rsidR="00F035B7" w:rsidRPr="00197AF3" w:rsidTr="00F31CCC">
        <w:trPr>
          <w:tblCellSpacing w:w="0" w:type="dxa"/>
        </w:trPr>
        <w:tc>
          <w:tcPr>
            <w:tcW w:w="2580" w:type="dxa"/>
            <w:tcMar>
              <w:top w:w="0" w:type="dxa"/>
              <w:left w:w="115" w:type="dxa"/>
              <w:bottom w:w="0" w:type="dxa"/>
              <w:right w:w="115" w:type="dxa"/>
            </w:tcMar>
            <w:hideMark/>
          </w:tcPr>
          <w:p w:rsidR="00F31CCC" w:rsidRPr="00197AF3" w:rsidRDefault="00C70530" w:rsidP="00C31D20">
            <w:pPr>
              <w:spacing w:after="75"/>
              <w:contextualSpacing/>
              <w:jc w:val="both"/>
              <w:rPr>
                <w:rFonts w:ascii="Arial" w:hAnsi="Arial" w:cs="Arial"/>
                <w:b/>
                <w:bCs/>
                <w:color w:val="000000" w:themeColor="text1"/>
              </w:rPr>
            </w:pPr>
            <w:r w:rsidRPr="00197AF3">
              <w:rPr>
                <w:rFonts w:ascii="Arial" w:hAnsi="Arial" w:cs="Arial"/>
                <w:b/>
                <w:bCs/>
                <w:color w:val="000000" w:themeColor="text1"/>
              </w:rPr>
              <w:t xml:space="preserve">STR </w:t>
            </w:r>
            <w:r w:rsidRPr="00197AF3">
              <w:rPr>
                <w:rFonts w:ascii="Cambria Math" w:hAnsi="Cambria Math" w:cs="Cambria Math"/>
                <w:b/>
                <w:bCs/>
                <w:color w:val="000000" w:themeColor="text1"/>
              </w:rPr>
              <w:t>𝑡</w:t>
            </w:r>
            <w:r w:rsidRPr="00197AF3">
              <w:rPr>
                <w:rFonts w:ascii="Arial" w:hAnsi="Arial" w:cs="Arial"/>
                <w:b/>
                <w:bCs/>
                <w:color w:val="000000" w:themeColor="text1"/>
              </w:rPr>
              <w:t>:</w:t>
            </w:r>
          </w:p>
        </w:tc>
        <w:tc>
          <w:tcPr>
            <w:tcW w:w="17220" w:type="dxa"/>
            <w:tcMar>
              <w:top w:w="0" w:type="dxa"/>
              <w:left w:w="115" w:type="dxa"/>
              <w:bottom w:w="0" w:type="dxa"/>
              <w:right w:w="115" w:type="dxa"/>
            </w:tcMar>
            <w:hideMark/>
          </w:tcPr>
          <w:p w:rsidR="00C70530" w:rsidRPr="00197AF3" w:rsidRDefault="00F31CCC" w:rsidP="00C31D20">
            <w:pPr>
              <w:spacing w:after="75"/>
              <w:contextualSpacing/>
              <w:jc w:val="both"/>
              <w:rPr>
                <w:rFonts w:ascii="Arial" w:hAnsi="Arial" w:cs="Arial"/>
                <w:color w:val="000000" w:themeColor="text1"/>
              </w:rPr>
            </w:pPr>
            <w:r w:rsidRPr="00197AF3">
              <w:rPr>
                <w:rFonts w:ascii="Arial" w:hAnsi="Arial" w:cs="Arial"/>
                <w:color w:val="000000" w:themeColor="text1"/>
              </w:rPr>
              <w:t>Corresponde a la cotización diaria, del factor de corrección de mercado para el flete de los tanqueros limpios de 30.000 Toneladas Métricas para la ruta CARIB/USG, de la publicación PLATT´s de Standard &amp; Poor´s, expresado en unidades de Worldscale (WS Assess), en el día t.</w:t>
            </w:r>
          </w:p>
        </w:tc>
      </w:tr>
      <w:tr w:rsidR="00F035B7" w:rsidRPr="00197AF3" w:rsidTr="00F31CCC">
        <w:trPr>
          <w:tblCellSpacing w:w="0" w:type="dxa"/>
        </w:trPr>
        <w:tc>
          <w:tcPr>
            <w:tcW w:w="2580" w:type="dxa"/>
            <w:tcMar>
              <w:top w:w="0" w:type="dxa"/>
              <w:left w:w="115" w:type="dxa"/>
              <w:bottom w:w="0" w:type="dxa"/>
              <w:right w:w="115" w:type="dxa"/>
            </w:tcMar>
            <w:hideMark/>
          </w:tcPr>
          <w:p w:rsidR="00F31CCC" w:rsidRPr="00197AF3" w:rsidRDefault="00C70530" w:rsidP="00C31D20">
            <w:pPr>
              <w:spacing w:after="75"/>
              <w:contextualSpacing/>
              <w:jc w:val="both"/>
              <w:rPr>
                <w:rFonts w:ascii="Arial" w:hAnsi="Arial" w:cs="Arial"/>
                <w:b/>
                <w:bCs/>
                <w:color w:val="000000" w:themeColor="text1"/>
              </w:rPr>
            </w:pPr>
            <w:r w:rsidRPr="00197AF3">
              <w:rPr>
                <w:rFonts w:ascii="Arial" w:hAnsi="Arial" w:cs="Arial"/>
                <w:b/>
                <w:bCs/>
                <w:color w:val="000000" w:themeColor="text1"/>
              </w:rPr>
              <w:t>CT</w:t>
            </w:r>
            <w:r w:rsidRPr="00197AF3">
              <w:rPr>
                <w:rFonts w:ascii="Cambria Math" w:hAnsi="Cambria Math" w:cs="Cambria Math"/>
                <w:b/>
                <w:bCs/>
                <w:color w:val="000000" w:themeColor="text1"/>
              </w:rPr>
              <w:t>𝑡</w:t>
            </w:r>
            <w:r w:rsidRPr="00197AF3">
              <w:rPr>
                <w:rFonts w:ascii="Arial" w:hAnsi="Arial" w:cs="Arial"/>
                <w:b/>
                <w:bCs/>
                <w:color w:val="000000" w:themeColor="text1"/>
              </w:rPr>
              <w:t>:</w:t>
            </w:r>
          </w:p>
        </w:tc>
        <w:tc>
          <w:tcPr>
            <w:tcW w:w="17220" w:type="dxa"/>
            <w:tcMar>
              <w:top w:w="0" w:type="dxa"/>
              <w:left w:w="115" w:type="dxa"/>
              <w:bottom w:w="0" w:type="dxa"/>
              <w:right w:w="115" w:type="dxa"/>
            </w:tcMar>
            <w:hideMark/>
          </w:tcPr>
          <w:p w:rsidR="00C70530" w:rsidRPr="00197AF3" w:rsidRDefault="00F31CCC" w:rsidP="00C31D20">
            <w:pPr>
              <w:spacing w:after="75"/>
              <w:contextualSpacing/>
              <w:jc w:val="both"/>
              <w:rPr>
                <w:rFonts w:ascii="Arial" w:hAnsi="Arial" w:cs="Arial"/>
                <w:color w:val="000000" w:themeColor="text1"/>
              </w:rPr>
            </w:pPr>
            <w:r w:rsidRPr="00197AF3">
              <w:rPr>
                <w:rFonts w:ascii="Arial" w:hAnsi="Arial" w:cs="Arial"/>
                <w:color w:val="000000" w:themeColor="text1"/>
              </w:rPr>
              <w:t xml:space="preserve">Corresponde, en el caso en que aplique, al costo de los fletes por poliducto o terrestres para transportar un galón de gasolina desde la Refinería hasta el puerto de exportación local, de acuerdo con las tarifas reguladas sobre el particular por el </w:t>
            </w:r>
            <w:r w:rsidRPr="00197AF3">
              <w:rPr>
                <w:rFonts w:ascii="Arial" w:hAnsi="Arial" w:cs="Arial"/>
                <w:color w:val="000000" w:themeColor="text1"/>
              </w:rPr>
              <w:lastRenderedPageBreak/>
              <w:t>Ministerio de Minas y Energía o quien haga sus veces en materia de regulación de precios, expresado en dólares por galón (US$/Galón), en el día t. Para efectos de las tarifas en pesos, se utilizará para su conversión a dólares la tasa de cambio aplicable a cada uno de los días de cálculo.</w:t>
            </w:r>
          </w:p>
        </w:tc>
      </w:tr>
      <w:tr w:rsidR="00F035B7" w:rsidRPr="00197AF3" w:rsidTr="00F31CCC">
        <w:trPr>
          <w:tblCellSpacing w:w="0" w:type="dxa"/>
        </w:trPr>
        <w:tc>
          <w:tcPr>
            <w:tcW w:w="2580" w:type="dxa"/>
            <w:tcMar>
              <w:top w:w="0" w:type="dxa"/>
              <w:left w:w="115" w:type="dxa"/>
              <w:bottom w:w="0" w:type="dxa"/>
              <w:right w:w="115" w:type="dxa"/>
            </w:tcMar>
            <w:hideMark/>
          </w:tcPr>
          <w:p w:rsidR="00F31CCC" w:rsidRPr="00197AF3" w:rsidRDefault="00C70530" w:rsidP="00C31D20">
            <w:pPr>
              <w:spacing w:after="75"/>
              <w:contextualSpacing/>
              <w:jc w:val="both"/>
              <w:rPr>
                <w:rFonts w:ascii="Arial" w:hAnsi="Arial" w:cs="Arial"/>
                <w:color w:val="000000" w:themeColor="text1"/>
              </w:rPr>
            </w:pPr>
            <w:r w:rsidRPr="00197AF3">
              <w:rPr>
                <w:rFonts w:ascii="Arial" w:hAnsi="Arial" w:cs="Arial"/>
                <w:b/>
                <w:bCs/>
                <w:color w:val="000000" w:themeColor="text1"/>
              </w:rPr>
              <w:lastRenderedPageBreak/>
              <w:t>TRM</w:t>
            </w:r>
            <w:r w:rsidRPr="00197AF3">
              <w:rPr>
                <w:rFonts w:ascii="Cambria Math" w:hAnsi="Cambria Math" w:cs="Cambria Math"/>
                <w:b/>
                <w:bCs/>
                <w:color w:val="000000" w:themeColor="text1"/>
              </w:rPr>
              <w:t>𝑡</w:t>
            </w:r>
            <w:r w:rsidRPr="00197AF3">
              <w:rPr>
                <w:rFonts w:ascii="Arial" w:hAnsi="Arial" w:cs="Arial"/>
                <w:b/>
                <w:bCs/>
                <w:color w:val="000000" w:themeColor="text1"/>
              </w:rPr>
              <w:t>:</w:t>
            </w:r>
          </w:p>
        </w:tc>
        <w:tc>
          <w:tcPr>
            <w:tcW w:w="17220" w:type="dxa"/>
            <w:tcMar>
              <w:top w:w="0" w:type="dxa"/>
              <w:left w:w="115" w:type="dxa"/>
              <w:bottom w:w="0" w:type="dxa"/>
              <w:right w:w="115" w:type="dxa"/>
            </w:tcMar>
            <w:hideMark/>
          </w:tcPr>
          <w:p w:rsidR="00F035B7" w:rsidRPr="00197AF3" w:rsidRDefault="00F31CCC" w:rsidP="00C31D20">
            <w:pPr>
              <w:spacing w:after="75"/>
              <w:contextualSpacing/>
              <w:jc w:val="both"/>
              <w:rPr>
                <w:rFonts w:ascii="Arial" w:hAnsi="Arial" w:cs="Arial"/>
                <w:color w:val="000000" w:themeColor="text1"/>
              </w:rPr>
            </w:pPr>
            <w:r w:rsidRPr="00197AF3">
              <w:rPr>
                <w:rFonts w:ascii="Arial" w:hAnsi="Arial" w:cs="Arial"/>
                <w:color w:val="000000" w:themeColor="text1"/>
              </w:rPr>
              <w:t>Corresponde a la tasa de cambio representativa de Mercado vigente para el día t, certificada por la Superintendencia Financiera.</w:t>
            </w:r>
          </w:p>
        </w:tc>
      </w:tr>
      <w:tr w:rsidR="00F035B7" w:rsidRPr="00197AF3" w:rsidTr="00F31CCC">
        <w:trPr>
          <w:tblCellSpacing w:w="0" w:type="dxa"/>
        </w:trPr>
        <w:tc>
          <w:tcPr>
            <w:tcW w:w="2580" w:type="dxa"/>
            <w:tcMar>
              <w:top w:w="0" w:type="dxa"/>
              <w:left w:w="115" w:type="dxa"/>
              <w:bottom w:w="0" w:type="dxa"/>
              <w:right w:w="115" w:type="dxa"/>
            </w:tcMar>
            <w:hideMark/>
          </w:tcPr>
          <w:p w:rsidR="00F31CCC" w:rsidRPr="00197AF3" w:rsidRDefault="00F31CCC" w:rsidP="00C31D20">
            <w:pPr>
              <w:spacing w:after="75"/>
              <w:contextualSpacing/>
              <w:jc w:val="both"/>
              <w:rPr>
                <w:rFonts w:ascii="Arial" w:hAnsi="Arial" w:cs="Arial"/>
                <w:color w:val="000000" w:themeColor="text1"/>
              </w:rPr>
            </w:pPr>
            <w:r w:rsidRPr="00197AF3">
              <w:rPr>
                <w:rFonts w:ascii="Arial" w:hAnsi="Arial" w:cs="Arial"/>
                <w:b/>
                <w:bCs/>
                <w:color w:val="000000" w:themeColor="text1"/>
              </w:rPr>
              <w:t>Diferencial</w:t>
            </w:r>
            <w:r w:rsidRPr="00197AF3">
              <w:rPr>
                <w:rFonts w:ascii="Arial" w:hAnsi="Arial" w:cs="Arial"/>
                <w:color w:val="000000" w:themeColor="text1"/>
              </w:rPr>
              <w:t>:</w:t>
            </w:r>
          </w:p>
        </w:tc>
        <w:tc>
          <w:tcPr>
            <w:tcW w:w="17220" w:type="dxa"/>
            <w:tcMar>
              <w:top w:w="0" w:type="dxa"/>
              <w:left w:w="115" w:type="dxa"/>
              <w:bottom w:w="0" w:type="dxa"/>
              <w:right w:w="115" w:type="dxa"/>
            </w:tcMar>
            <w:hideMark/>
          </w:tcPr>
          <w:p w:rsidR="00F035B7" w:rsidRPr="00197AF3" w:rsidRDefault="00F31CCC" w:rsidP="00C31D20">
            <w:pPr>
              <w:spacing w:after="75"/>
              <w:contextualSpacing/>
              <w:jc w:val="both"/>
              <w:rPr>
                <w:rFonts w:ascii="Arial" w:hAnsi="Arial" w:cs="Arial"/>
                <w:color w:val="000000" w:themeColor="text1"/>
              </w:rPr>
            </w:pPr>
            <w:r w:rsidRPr="00197AF3">
              <w:rPr>
                <w:rFonts w:ascii="Arial" w:hAnsi="Arial" w:cs="Arial"/>
                <w:color w:val="000000" w:themeColor="text1"/>
              </w:rPr>
              <w:t>Corresponde a la diferencia positiva o negativa entre el precio paridad exportación diario de la Gasolina Motor Corriente de producción nacional, referenciado al mercado del Golfo de los Estados Unidos de América y el Ingreso al Productor vigente para cada día del mes.</w:t>
            </w:r>
          </w:p>
          <w:p w:rsidR="00D87317" w:rsidRPr="00197AF3" w:rsidRDefault="00D87317" w:rsidP="00C31D20">
            <w:pPr>
              <w:spacing w:after="75"/>
              <w:contextualSpacing/>
              <w:jc w:val="both"/>
              <w:rPr>
                <w:rFonts w:ascii="Arial" w:hAnsi="Arial" w:cs="Arial"/>
                <w:color w:val="000000" w:themeColor="text1"/>
              </w:rPr>
            </w:pPr>
          </w:p>
        </w:tc>
      </w:tr>
    </w:tbl>
    <w:p w:rsidR="00F31CCC" w:rsidRPr="00197AF3" w:rsidRDefault="00F31CCC" w:rsidP="00C31D20">
      <w:pPr>
        <w:contextualSpacing/>
        <w:jc w:val="both"/>
        <w:rPr>
          <w:rFonts w:ascii="Arial" w:hAnsi="Arial" w:cs="Arial"/>
          <w:color w:val="000000" w:themeColor="text1"/>
        </w:rPr>
      </w:pPr>
      <w:r w:rsidRPr="00197AF3">
        <w:rPr>
          <w:rFonts w:ascii="Arial" w:hAnsi="Arial" w:cs="Arial"/>
          <w:color w:val="000000" w:themeColor="text1"/>
        </w:rPr>
        <w:t>Cuando el diferencial anterior es positivo se denomina Diferencial de Compensación por Galón, cuando es negativo se denomina Diferencial de Participación por galón. </w:t>
      </w:r>
    </w:p>
    <w:p w:rsidR="00F31CCC" w:rsidRPr="00197AF3" w:rsidRDefault="00F31CCC" w:rsidP="00C31D20">
      <w:pPr>
        <w:contextualSpacing/>
        <w:jc w:val="both"/>
        <w:rPr>
          <w:rFonts w:ascii="Arial" w:hAnsi="Arial" w:cs="Arial"/>
          <w:color w:val="000000" w:themeColor="text1"/>
        </w:rPr>
      </w:pPr>
      <w:r w:rsidRPr="00197AF3">
        <w:rPr>
          <w:rFonts w:ascii="Arial" w:hAnsi="Arial" w:cs="Arial"/>
          <w:color w:val="000000" w:themeColor="text1"/>
        </w:rPr>
        <w:t>  </w:t>
      </w:r>
    </w:p>
    <w:p w:rsidR="00F31CCC" w:rsidRPr="00197AF3" w:rsidRDefault="00F31CCC" w:rsidP="00C31D20">
      <w:pPr>
        <w:contextualSpacing/>
        <w:jc w:val="both"/>
        <w:rPr>
          <w:rFonts w:ascii="Arial" w:hAnsi="Arial" w:cs="Arial"/>
          <w:color w:val="000000" w:themeColor="text1"/>
        </w:rPr>
      </w:pPr>
      <w:r w:rsidRPr="00197AF3">
        <w:rPr>
          <w:rFonts w:ascii="Arial" w:hAnsi="Arial" w:cs="Arial"/>
          <w:b/>
          <w:bCs/>
          <w:color w:val="000000" w:themeColor="text1"/>
        </w:rPr>
        <w:t>Precio en la fecha de cálculo de la Gasolina Motor Corriente Paridad Exportación - Producción Nacional</w:t>
      </w:r>
      <w:r w:rsidR="00F06A1C" w:rsidRPr="00197AF3">
        <w:rPr>
          <w:rFonts w:ascii="Arial" w:hAnsi="Arial" w:cs="Arial"/>
          <w:b/>
          <w:bCs/>
          <w:color w:val="000000" w:themeColor="text1"/>
        </w:rPr>
        <w:t xml:space="preserve"> PPE</w:t>
      </w:r>
      <w:r w:rsidR="00F06A1C" w:rsidRPr="00197AF3">
        <w:rPr>
          <w:rFonts w:ascii="Cambria Math" w:hAnsi="Cambria Math" w:cs="Cambria Math"/>
          <w:b/>
          <w:bCs/>
          <w:color w:val="000000" w:themeColor="text1"/>
        </w:rPr>
        <w:t>𝑡</w:t>
      </w:r>
      <w:r w:rsidRPr="00197AF3">
        <w:rPr>
          <w:rFonts w:ascii="Arial" w:hAnsi="Arial" w:cs="Arial"/>
          <w:b/>
          <w:bCs/>
          <w:color w:val="000000" w:themeColor="text1"/>
        </w:rPr>
        <w:t>:</w:t>
      </w:r>
      <w:r w:rsidRPr="00197AF3">
        <w:rPr>
          <w:rFonts w:ascii="Arial" w:hAnsi="Arial" w:cs="Arial"/>
          <w:color w:val="000000" w:themeColor="text1"/>
        </w:rPr>
        <w:t> Corresponde al último precio paridad exportación diario de la Gasolina Motor de producción nacional - </w:t>
      </w:r>
      <w:r w:rsidR="00C70530" w:rsidRPr="00197AF3">
        <w:rPr>
          <w:rFonts w:ascii="Arial" w:hAnsi="Arial" w:cs="Arial"/>
          <w:b/>
          <w:bCs/>
          <w:color w:val="000000" w:themeColor="text1"/>
        </w:rPr>
        <w:t>PPE</w:t>
      </w:r>
      <w:r w:rsidR="00C70530" w:rsidRPr="00197AF3">
        <w:rPr>
          <w:rFonts w:ascii="Cambria Math" w:hAnsi="Cambria Math" w:cs="Cambria Math"/>
          <w:b/>
          <w:bCs/>
          <w:color w:val="000000" w:themeColor="text1"/>
        </w:rPr>
        <w:t>𝑡</w:t>
      </w:r>
      <w:r w:rsidRPr="00197AF3">
        <w:rPr>
          <w:rFonts w:ascii="Arial" w:hAnsi="Arial" w:cs="Arial"/>
          <w:color w:val="000000" w:themeColor="text1"/>
        </w:rPr>
        <w:t>, referenciado al mercado del Golfo de los Estados Unidos de América, disponible en la fecha de cálculo de acuerdo al rezago en los datos reportados por la publicación PLATT's de Standard &amp; Poor's. </w:t>
      </w:r>
    </w:p>
    <w:p w:rsidR="00F31CCC" w:rsidRPr="00197AF3" w:rsidRDefault="00F31CCC" w:rsidP="00C31D20">
      <w:pPr>
        <w:contextualSpacing/>
        <w:jc w:val="both"/>
        <w:rPr>
          <w:rFonts w:ascii="Arial" w:hAnsi="Arial" w:cs="Arial"/>
          <w:color w:val="000000" w:themeColor="text1"/>
        </w:rPr>
      </w:pPr>
      <w:r w:rsidRPr="00197AF3">
        <w:rPr>
          <w:rFonts w:ascii="Arial" w:hAnsi="Arial" w:cs="Arial"/>
          <w:color w:val="000000" w:themeColor="text1"/>
        </w:rPr>
        <w:t>  </w:t>
      </w:r>
    </w:p>
    <w:p w:rsidR="00F035B7" w:rsidRPr="00197AF3" w:rsidRDefault="00F31CCC" w:rsidP="00C31D20">
      <w:pPr>
        <w:contextualSpacing/>
        <w:jc w:val="both"/>
        <w:rPr>
          <w:rFonts w:ascii="Arial" w:hAnsi="Arial" w:cs="Arial"/>
          <w:color w:val="000000" w:themeColor="text1"/>
        </w:rPr>
      </w:pPr>
      <w:r w:rsidRPr="00197AF3">
        <w:rPr>
          <w:rFonts w:ascii="Arial" w:hAnsi="Arial" w:cs="Arial"/>
          <w:b/>
          <w:bCs/>
          <w:color w:val="000000" w:themeColor="text1"/>
        </w:rPr>
        <w:t>Tendencia diaria b:</w:t>
      </w:r>
      <w:r w:rsidRPr="00197AF3">
        <w:rPr>
          <w:rFonts w:ascii="Arial" w:hAnsi="Arial" w:cs="Arial"/>
          <w:color w:val="000000" w:themeColor="text1"/>
        </w:rPr>
        <w:t> Corresponde al coeficiente de la pendiente que resulta de una línea de regresión por mínimos cuadrados ordinarios para los datos disponibles de los últimos sesenta (60) días calendario del logaritmo natural del precio paridad exportación diario de la Gasolina Motor de producción nacional - </w:t>
      </w:r>
      <w:r w:rsidR="00C70530" w:rsidRPr="00197AF3">
        <w:rPr>
          <w:rFonts w:ascii="Arial" w:hAnsi="Arial" w:cs="Arial"/>
          <w:color w:val="000000" w:themeColor="text1"/>
        </w:rPr>
        <w:t>PPE</w:t>
      </w:r>
      <w:r w:rsidR="00C70530" w:rsidRPr="00197AF3">
        <w:rPr>
          <w:rFonts w:ascii="Cambria Math" w:hAnsi="Cambria Math" w:cs="Cambria Math"/>
          <w:color w:val="000000" w:themeColor="text1"/>
        </w:rPr>
        <w:t>𝑡</w:t>
      </w:r>
      <w:r w:rsidRPr="00197AF3">
        <w:rPr>
          <w:rFonts w:ascii="Arial" w:hAnsi="Arial" w:cs="Arial"/>
          <w:color w:val="000000" w:themeColor="text1"/>
        </w:rPr>
        <w:t>, referenciado al mercado del Golfo de los Estados Unidos de América, con respecto al tiempo medido en días utilizando la siguiente ecuación:</w:t>
      </w:r>
    </w:p>
    <w:p w:rsidR="00F31CCC" w:rsidRPr="00197AF3" w:rsidRDefault="00F31CCC" w:rsidP="00C31D20">
      <w:pPr>
        <w:contextualSpacing/>
        <w:jc w:val="both"/>
        <w:rPr>
          <w:rFonts w:ascii="Arial" w:hAnsi="Arial" w:cs="Arial"/>
          <w:color w:val="000000" w:themeColor="text1"/>
        </w:rPr>
      </w:pPr>
    </w:p>
    <w:p w:rsidR="00C70530" w:rsidRPr="00197AF3" w:rsidRDefault="00C70530" w:rsidP="00C31D20">
      <w:pPr>
        <w:contextualSpacing/>
        <w:jc w:val="center"/>
        <w:rPr>
          <w:rFonts w:ascii="Arial" w:hAnsi="Arial" w:cs="Arial"/>
          <w:color w:val="000000" w:themeColor="text1"/>
        </w:rPr>
      </w:pPr>
      <w:r w:rsidRPr="00197AF3">
        <w:rPr>
          <w:rFonts w:ascii="Arial" w:hAnsi="Arial" w:cs="Arial"/>
          <w:b/>
          <w:bCs/>
          <w:color w:val="000000" w:themeColor="text1"/>
        </w:rPr>
        <w:t>Ln PPE</w:t>
      </w:r>
      <w:r w:rsidRPr="00197AF3">
        <w:rPr>
          <w:rFonts w:ascii="Cambria Math" w:hAnsi="Cambria Math" w:cs="Cambria Math"/>
          <w:b/>
          <w:bCs/>
          <w:color w:val="000000" w:themeColor="text1"/>
        </w:rPr>
        <w:t>𝑡</w:t>
      </w:r>
      <w:r w:rsidRPr="00197AF3">
        <w:rPr>
          <w:rFonts w:ascii="Arial" w:hAnsi="Arial" w:cs="Arial"/>
          <w:b/>
          <w:bCs/>
          <w:color w:val="000000" w:themeColor="text1"/>
        </w:rPr>
        <w:t xml:space="preserve"> = a + b</w:t>
      </w:r>
      <w:r w:rsidRPr="00197AF3">
        <w:rPr>
          <w:rFonts w:ascii="Cambria Math" w:hAnsi="Cambria Math" w:cs="Cambria Math"/>
          <w:b/>
          <w:bCs/>
          <w:color w:val="000000" w:themeColor="text1"/>
        </w:rPr>
        <w:t>𝑡</w:t>
      </w:r>
    </w:p>
    <w:p w:rsidR="00F31CCC" w:rsidRDefault="00F31CCC" w:rsidP="00C31D20">
      <w:pPr>
        <w:contextualSpacing/>
        <w:jc w:val="both"/>
        <w:rPr>
          <w:rFonts w:ascii="Arial" w:hAnsi="Arial" w:cs="Arial"/>
          <w:color w:val="000000" w:themeColor="text1"/>
        </w:rPr>
      </w:pPr>
      <w:r w:rsidRPr="00197AF3">
        <w:rPr>
          <w:rFonts w:ascii="Arial" w:hAnsi="Arial" w:cs="Arial"/>
          <w:color w:val="000000" w:themeColor="text1"/>
        </w:rPr>
        <w:t>Donde: </w:t>
      </w:r>
    </w:p>
    <w:p w:rsidR="000810F8" w:rsidRPr="00197AF3" w:rsidRDefault="000810F8" w:rsidP="00C31D20">
      <w:pPr>
        <w:contextualSpacing/>
        <w:jc w:val="both"/>
        <w:rPr>
          <w:rFonts w:ascii="Arial" w:hAnsi="Arial" w:cs="Arial"/>
          <w:color w:val="000000" w:themeColor="text1"/>
        </w:rPr>
      </w:pPr>
    </w:p>
    <w:tbl>
      <w:tblPr>
        <w:tblW w:w="0" w:type="auto"/>
        <w:tblCellSpacing w:w="0" w:type="dxa"/>
        <w:tblCellMar>
          <w:left w:w="0" w:type="dxa"/>
          <w:right w:w="0" w:type="dxa"/>
        </w:tblCellMar>
        <w:tblLook w:val="04A0" w:firstRow="1" w:lastRow="0" w:firstColumn="1" w:lastColumn="0" w:noHBand="0" w:noVBand="1"/>
      </w:tblPr>
      <w:tblGrid>
        <w:gridCol w:w="1380"/>
        <w:gridCol w:w="7688"/>
      </w:tblGrid>
      <w:tr w:rsidR="00F035B7" w:rsidRPr="00197AF3" w:rsidTr="00F31CCC">
        <w:trPr>
          <w:tblCellSpacing w:w="0" w:type="dxa"/>
        </w:trPr>
        <w:tc>
          <w:tcPr>
            <w:tcW w:w="2190" w:type="dxa"/>
            <w:tcMar>
              <w:top w:w="0" w:type="dxa"/>
              <w:left w:w="115" w:type="dxa"/>
              <w:bottom w:w="0" w:type="dxa"/>
              <w:right w:w="115" w:type="dxa"/>
            </w:tcMar>
            <w:hideMark/>
          </w:tcPr>
          <w:p w:rsidR="00F31CCC" w:rsidRPr="00197AF3" w:rsidRDefault="00C70530" w:rsidP="00C31D20">
            <w:pPr>
              <w:spacing w:after="75"/>
              <w:contextualSpacing/>
              <w:jc w:val="both"/>
              <w:rPr>
                <w:rFonts w:ascii="Arial" w:hAnsi="Arial" w:cs="Arial"/>
                <w:color w:val="000000" w:themeColor="text1"/>
              </w:rPr>
            </w:pPr>
            <w:r w:rsidRPr="00197AF3">
              <w:rPr>
                <w:rFonts w:ascii="Arial" w:hAnsi="Arial" w:cs="Arial"/>
                <w:b/>
                <w:bCs/>
                <w:color w:val="000000" w:themeColor="text1"/>
              </w:rPr>
              <w:t>Ln PPE</w:t>
            </w:r>
            <w:r w:rsidRPr="00197AF3">
              <w:rPr>
                <w:rFonts w:ascii="Cambria Math" w:hAnsi="Cambria Math" w:cs="Cambria Math"/>
                <w:b/>
                <w:bCs/>
                <w:color w:val="000000" w:themeColor="text1"/>
              </w:rPr>
              <w:t>𝑡</w:t>
            </w:r>
            <w:r w:rsidRPr="00197AF3">
              <w:rPr>
                <w:rFonts w:ascii="Arial" w:hAnsi="Arial" w:cs="Arial"/>
                <w:b/>
                <w:bCs/>
                <w:color w:val="000000" w:themeColor="text1"/>
              </w:rPr>
              <w:t>:</w:t>
            </w:r>
          </w:p>
        </w:tc>
        <w:tc>
          <w:tcPr>
            <w:tcW w:w="17610" w:type="dxa"/>
            <w:tcMar>
              <w:top w:w="0" w:type="dxa"/>
              <w:left w:w="115" w:type="dxa"/>
              <w:bottom w:w="0" w:type="dxa"/>
              <w:right w:w="115" w:type="dxa"/>
            </w:tcMar>
            <w:hideMark/>
          </w:tcPr>
          <w:p w:rsidR="00F31CCC" w:rsidRPr="00197AF3" w:rsidRDefault="00F31CCC" w:rsidP="00C31D20">
            <w:pPr>
              <w:spacing w:after="75"/>
              <w:contextualSpacing/>
              <w:jc w:val="both"/>
              <w:rPr>
                <w:rFonts w:ascii="Arial" w:hAnsi="Arial" w:cs="Arial"/>
                <w:color w:val="000000" w:themeColor="text1"/>
              </w:rPr>
            </w:pPr>
            <w:r w:rsidRPr="00197AF3">
              <w:rPr>
                <w:rFonts w:ascii="Arial" w:hAnsi="Arial" w:cs="Arial"/>
                <w:color w:val="000000" w:themeColor="text1"/>
              </w:rPr>
              <w:t>Corresponde al logaritmo natural del precio paridad exportación diario de</w:t>
            </w:r>
            <w:r w:rsidR="000810F8">
              <w:rPr>
                <w:rFonts w:ascii="Arial" w:hAnsi="Arial" w:cs="Arial"/>
                <w:color w:val="000000" w:themeColor="text1"/>
              </w:rPr>
              <w:t xml:space="preserve"> la Gasolina Motor</w:t>
            </w:r>
            <w:r w:rsidRPr="00197AF3">
              <w:rPr>
                <w:rFonts w:ascii="Arial" w:hAnsi="Arial" w:cs="Arial"/>
                <w:color w:val="000000" w:themeColor="text1"/>
              </w:rPr>
              <w:t xml:space="preserve"> de producción nacional - </w:t>
            </w:r>
            <w:r w:rsidR="00C70530" w:rsidRPr="00197AF3">
              <w:rPr>
                <w:rFonts w:ascii="Arial" w:hAnsi="Arial" w:cs="Arial"/>
                <w:color w:val="000000" w:themeColor="text1"/>
              </w:rPr>
              <w:t>PPE</w:t>
            </w:r>
            <w:r w:rsidR="00C70530" w:rsidRPr="00197AF3">
              <w:rPr>
                <w:rFonts w:ascii="Cambria Math" w:hAnsi="Cambria Math" w:cs="Cambria Math"/>
                <w:color w:val="000000" w:themeColor="text1"/>
              </w:rPr>
              <w:t>𝑡</w:t>
            </w:r>
            <w:r w:rsidRPr="00197AF3">
              <w:rPr>
                <w:rFonts w:ascii="Arial" w:hAnsi="Arial" w:cs="Arial"/>
                <w:color w:val="000000" w:themeColor="text1"/>
              </w:rPr>
              <w:t>, referenciado al mercado del Golfo de los Estados Unidos de América, expresado en pesos por galón.</w:t>
            </w:r>
          </w:p>
        </w:tc>
      </w:tr>
    </w:tbl>
    <w:p w:rsidR="00F31CCC" w:rsidRPr="00197AF3" w:rsidRDefault="000810F8" w:rsidP="00C31D20">
      <w:pPr>
        <w:contextualSpacing/>
        <w:jc w:val="both"/>
        <w:rPr>
          <w:rFonts w:ascii="Arial" w:hAnsi="Arial" w:cs="Arial"/>
          <w:color w:val="000000" w:themeColor="text1"/>
        </w:rPr>
      </w:pPr>
      <w:r>
        <w:rPr>
          <w:rFonts w:ascii="Arial" w:hAnsi="Arial" w:cs="Arial"/>
          <w:b/>
          <w:bCs/>
          <w:color w:val="000000" w:themeColor="text1"/>
        </w:rPr>
        <w:t>a</w:t>
      </w:r>
      <w:r w:rsidR="00F31CCC" w:rsidRPr="00197AF3">
        <w:rPr>
          <w:rFonts w:ascii="Arial" w:hAnsi="Arial" w:cs="Arial"/>
          <w:b/>
          <w:bCs/>
          <w:color w:val="000000" w:themeColor="text1"/>
        </w:rPr>
        <w:t>:</w:t>
      </w:r>
      <w:r w:rsidR="00F31CCC" w:rsidRPr="00197AF3">
        <w:rPr>
          <w:rFonts w:ascii="Arial" w:hAnsi="Arial" w:cs="Arial"/>
          <w:color w:val="000000" w:themeColor="text1"/>
        </w:rPr>
        <w:t> Corresponde al valor del intercepto de la señalada ecuación.   </w:t>
      </w:r>
    </w:p>
    <w:p w:rsidR="00F31CCC" w:rsidRPr="00197AF3" w:rsidRDefault="00F31CCC" w:rsidP="00C31D20">
      <w:pPr>
        <w:contextualSpacing/>
        <w:jc w:val="both"/>
        <w:rPr>
          <w:rFonts w:ascii="Arial" w:hAnsi="Arial" w:cs="Arial"/>
          <w:color w:val="000000" w:themeColor="text1"/>
        </w:rPr>
      </w:pPr>
      <w:r w:rsidRPr="00197AF3">
        <w:rPr>
          <w:rFonts w:ascii="Arial" w:hAnsi="Arial" w:cs="Arial"/>
          <w:b/>
          <w:bCs/>
          <w:color w:val="000000" w:themeColor="text1"/>
        </w:rPr>
        <w:lastRenderedPageBreak/>
        <w:t>b:</w:t>
      </w:r>
      <w:r w:rsidRPr="00197AF3">
        <w:rPr>
          <w:rFonts w:ascii="Arial" w:hAnsi="Arial" w:cs="Arial"/>
          <w:color w:val="000000" w:themeColor="text1"/>
        </w:rPr>
        <w:t> Corresponde al coeficiente de pendiente o tendencia diaria. Indica cuál es, en promedio, el cambio porcentual diario en </w:t>
      </w:r>
      <w:r w:rsidR="00C70530" w:rsidRPr="00197AF3">
        <w:rPr>
          <w:rFonts w:ascii="Arial" w:hAnsi="Arial" w:cs="Arial"/>
          <w:color w:val="000000" w:themeColor="text1"/>
        </w:rPr>
        <w:t>PPE</w:t>
      </w:r>
      <w:r w:rsidR="00C70530" w:rsidRPr="00197AF3">
        <w:rPr>
          <w:rFonts w:ascii="Cambria Math" w:hAnsi="Cambria Math" w:cs="Cambria Math"/>
          <w:color w:val="000000" w:themeColor="text1"/>
        </w:rPr>
        <w:t>𝑡</w:t>
      </w:r>
      <w:r w:rsidRPr="00197AF3">
        <w:rPr>
          <w:rFonts w:ascii="Arial" w:hAnsi="Arial" w:cs="Arial"/>
          <w:color w:val="000000" w:themeColor="text1"/>
        </w:rPr>
        <w:t>.   </w:t>
      </w:r>
    </w:p>
    <w:p w:rsidR="00F31CCC" w:rsidRPr="00197AF3" w:rsidRDefault="00F31CCC" w:rsidP="00C31D20">
      <w:pPr>
        <w:contextualSpacing/>
        <w:jc w:val="both"/>
        <w:rPr>
          <w:rFonts w:ascii="Arial" w:hAnsi="Arial" w:cs="Arial"/>
          <w:color w:val="000000" w:themeColor="text1"/>
        </w:rPr>
      </w:pPr>
      <w:r w:rsidRPr="00197AF3">
        <w:rPr>
          <w:rFonts w:ascii="Arial" w:hAnsi="Arial" w:cs="Arial"/>
          <w:b/>
          <w:bCs/>
          <w:color w:val="000000" w:themeColor="text1"/>
        </w:rPr>
        <w:t>t:</w:t>
      </w:r>
      <w:r w:rsidRPr="00197AF3">
        <w:rPr>
          <w:rFonts w:ascii="Arial" w:hAnsi="Arial" w:cs="Arial"/>
          <w:color w:val="000000" w:themeColor="text1"/>
        </w:rPr>
        <w:t> Corresponde al tiempo medido en días.   </w:t>
      </w:r>
    </w:p>
    <w:p w:rsidR="00F31CCC" w:rsidRPr="00197AF3" w:rsidRDefault="00F31CCC" w:rsidP="00C31D20">
      <w:pPr>
        <w:contextualSpacing/>
        <w:jc w:val="both"/>
        <w:rPr>
          <w:rFonts w:ascii="Arial" w:hAnsi="Arial" w:cs="Arial"/>
          <w:color w:val="000000" w:themeColor="text1"/>
        </w:rPr>
      </w:pPr>
      <w:r w:rsidRPr="00197AF3">
        <w:rPr>
          <w:rFonts w:ascii="Arial" w:hAnsi="Arial" w:cs="Arial"/>
          <w:b/>
          <w:bCs/>
          <w:color w:val="000000" w:themeColor="text1"/>
        </w:rPr>
        <w:t>Tendencia mensualizada m:</w:t>
      </w:r>
      <w:r w:rsidRPr="00197AF3">
        <w:rPr>
          <w:rFonts w:ascii="Arial" w:hAnsi="Arial" w:cs="Arial"/>
          <w:color w:val="000000" w:themeColor="text1"/>
        </w:rPr>
        <w:t> Corresponde al valor mensualizado del coeficiente de pendiente b y se calculará de la siguiente manera: </w:t>
      </w:r>
    </w:p>
    <w:p w:rsidR="00C70530" w:rsidRPr="00197AF3" w:rsidRDefault="00C70530" w:rsidP="00C31D20">
      <w:pPr>
        <w:contextualSpacing/>
        <w:jc w:val="both"/>
        <w:rPr>
          <w:rFonts w:ascii="Arial" w:hAnsi="Arial" w:cs="Arial"/>
          <w:color w:val="000000" w:themeColor="text1"/>
        </w:rPr>
      </w:pPr>
    </w:p>
    <w:p w:rsidR="00F31CCC" w:rsidRPr="00197AF3" w:rsidRDefault="00D530B6" w:rsidP="00C31D20">
      <w:pPr>
        <w:contextualSpacing/>
        <w:jc w:val="center"/>
        <w:rPr>
          <w:rFonts w:ascii="Arial" w:hAnsi="Arial" w:cs="Arial"/>
          <w:color w:val="000000" w:themeColor="text1"/>
        </w:rPr>
      </w:pPr>
      <w:r w:rsidRPr="00197AF3">
        <w:rPr>
          <w:rFonts w:ascii="Arial" w:hAnsi="Arial" w:cs="Arial"/>
          <w:b/>
          <w:bCs/>
          <w:color w:val="000000" w:themeColor="text1"/>
        </w:rPr>
        <w:t>m</w:t>
      </w:r>
      <w:r w:rsidR="00C70530" w:rsidRPr="00197AF3">
        <w:rPr>
          <w:rFonts w:ascii="Arial" w:hAnsi="Arial" w:cs="Arial"/>
          <w:b/>
          <w:bCs/>
          <w:color w:val="000000" w:themeColor="text1"/>
        </w:rPr>
        <w:t xml:space="preserve"> = </w:t>
      </w:r>
      <w:r w:rsidR="000810F8" w:rsidRPr="00197AF3">
        <w:rPr>
          <w:rFonts w:ascii="Arial" w:hAnsi="Arial" w:cs="Arial"/>
          <w:b/>
          <w:bCs/>
          <w:color w:val="000000" w:themeColor="text1"/>
        </w:rPr>
        <w:t>(1</w:t>
      </w:r>
      <w:r w:rsidR="00C70530" w:rsidRPr="00197AF3">
        <w:rPr>
          <w:rFonts w:ascii="Arial" w:hAnsi="Arial" w:cs="Arial"/>
          <w:b/>
          <w:bCs/>
          <w:color w:val="000000" w:themeColor="text1"/>
        </w:rPr>
        <w:t xml:space="preserve"> + b)</w:t>
      </w:r>
      <w:r w:rsidRPr="00197AF3">
        <w:rPr>
          <w:rFonts w:ascii="Arial" w:hAnsi="Arial" w:cs="Arial"/>
          <w:b/>
          <w:bCs/>
          <w:color w:val="000000" w:themeColor="text1"/>
        </w:rPr>
        <w:t>n - 1</w:t>
      </w:r>
      <w:r w:rsidR="00F31CCC" w:rsidRPr="00197AF3">
        <w:rPr>
          <w:rFonts w:ascii="Arial" w:hAnsi="Arial" w:cs="Arial"/>
          <w:color w:val="000000" w:themeColor="text1"/>
        </w:rPr>
        <w:t> </w:t>
      </w:r>
    </w:p>
    <w:p w:rsidR="00F31CCC" w:rsidRPr="00197AF3" w:rsidRDefault="00F31CCC" w:rsidP="00C31D20">
      <w:pPr>
        <w:contextualSpacing/>
        <w:jc w:val="both"/>
        <w:rPr>
          <w:rFonts w:ascii="Arial" w:hAnsi="Arial" w:cs="Arial"/>
          <w:color w:val="000000" w:themeColor="text1"/>
        </w:rPr>
      </w:pPr>
      <w:r w:rsidRPr="00197AF3">
        <w:rPr>
          <w:rFonts w:ascii="Arial" w:hAnsi="Arial" w:cs="Arial"/>
          <w:color w:val="000000" w:themeColor="text1"/>
        </w:rPr>
        <w:t>Donde: </w:t>
      </w:r>
    </w:p>
    <w:p w:rsidR="00F035B7" w:rsidRPr="00197AF3" w:rsidRDefault="00F035B7" w:rsidP="00C31D20">
      <w:pPr>
        <w:contextualSpacing/>
        <w:jc w:val="both"/>
        <w:rPr>
          <w:rFonts w:ascii="Arial" w:hAnsi="Arial" w:cs="Arial"/>
          <w:color w:val="000000" w:themeColor="text1"/>
        </w:rPr>
      </w:pPr>
    </w:p>
    <w:tbl>
      <w:tblPr>
        <w:tblW w:w="0" w:type="auto"/>
        <w:tblCellSpacing w:w="0" w:type="dxa"/>
        <w:tblCellMar>
          <w:left w:w="0" w:type="dxa"/>
          <w:right w:w="0" w:type="dxa"/>
        </w:tblCellMar>
        <w:tblLook w:val="04A0" w:firstRow="1" w:lastRow="0" w:firstColumn="1" w:lastColumn="0" w:noHBand="0" w:noVBand="1"/>
      </w:tblPr>
      <w:tblGrid>
        <w:gridCol w:w="457"/>
        <w:gridCol w:w="8611"/>
      </w:tblGrid>
      <w:tr w:rsidR="00F035B7" w:rsidRPr="00197AF3" w:rsidTr="00F31CCC">
        <w:trPr>
          <w:tblCellSpacing w:w="0" w:type="dxa"/>
        </w:trPr>
        <w:tc>
          <w:tcPr>
            <w:tcW w:w="390" w:type="dxa"/>
            <w:tcMar>
              <w:top w:w="0" w:type="dxa"/>
              <w:left w:w="115" w:type="dxa"/>
              <w:bottom w:w="0" w:type="dxa"/>
              <w:right w:w="115" w:type="dxa"/>
            </w:tcMar>
            <w:hideMark/>
          </w:tcPr>
          <w:p w:rsidR="00F31CCC" w:rsidRPr="00197AF3" w:rsidRDefault="00F31CCC" w:rsidP="00C31D20">
            <w:pPr>
              <w:spacing w:after="75"/>
              <w:contextualSpacing/>
              <w:jc w:val="both"/>
              <w:rPr>
                <w:rFonts w:ascii="Arial" w:hAnsi="Arial" w:cs="Arial"/>
                <w:color w:val="000000" w:themeColor="text1"/>
              </w:rPr>
            </w:pPr>
            <w:r w:rsidRPr="00197AF3">
              <w:rPr>
                <w:rFonts w:ascii="Arial" w:hAnsi="Arial" w:cs="Arial"/>
                <w:b/>
                <w:bCs/>
                <w:color w:val="000000" w:themeColor="text1"/>
              </w:rPr>
              <w:t>n:</w:t>
            </w:r>
          </w:p>
        </w:tc>
        <w:tc>
          <w:tcPr>
            <w:tcW w:w="9645" w:type="dxa"/>
            <w:tcMar>
              <w:top w:w="0" w:type="dxa"/>
              <w:left w:w="115" w:type="dxa"/>
              <w:bottom w:w="0" w:type="dxa"/>
              <w:right w:w="115" w:type="dxa"/>
            </w:tcMar>
            <w:hideMark/>
          </w:tcPr>
          <w:p w:rsidR="00F035B7" w:rsidRDefault="00F31CCC" w:rsidP="00C31D20">
            <w:pPr>
              <w:spacing w:after="75"/>
              <w:contextualSpacing/>
              <w:jc w:val="both"/>
              <w:rPr>
                <w:rFonts w:ascii="Arial" w:hAnsi="Arial" w:cs="Arial"/>
                <w:color w:val="000000" w:themeColor="text1"/>
              </w:rPr>
            </w:pPr>
            <w:r w:rsidRPr="00197AF3">
              <w:rPr>
                <w:rFonts w:ascii="Arial" w:hAnsi="Arial" w:cs="Arial"/>
                <w:color w:val="000000" w:themeColor="text1"/>
              </w:rPr>
              <w:t>Corresponde al número de días hábiles con datos disponibles del mes en el cual se está realizando el cálculo.</w:t>
            </w:r>
          </w:p>
          <w:p w:rsidR="000810F8" w:rsidRPr="00197AF3" w:rsidRDefault="000810F8" w:rsidP="00C31D20">
            <w:pPr>
              <w:spacing w:after="75"/>
              <w:contextualSpacing/>
              <w:jc w:val="both"/>
              <w:rPr>
                <w:rFonts w:ascii="Arial" w:hAnsi="Arial" w:cs="Arial"/>
                <w:color w:val="000000" w:themeColor="text1"/>
              </w:rPr>
            </w:pPr>
          </w:p>
        </w:tc>
      </w:tr>
    </w:tbl>
    <w:p w:rsidR="00F31CCC" w:rsidRDefault="00F31CCC" w:rsidP="00C31D20">
      <w:pPr>
        <w:contextualSpacing/>
        <w:jc w:val="both"/>
        <w:rPr>
          <w:rFonts w:ascii="Arial" w:hAnsi="Arial" w:cs="Arial"/>
          <w:color w:val="000000" w:themeColor="text1"/>
        </w:rPr>
      </w:pPr>
      <w:r w:rsidRPr="00197AF3">
        <w:rPr>
          <w:rFonts w:ascii="Arial" w:hAnsi="Arial" w:cs="Arial"/>
          <w:b/>
          <w:bCs/>
          <w:color w:val="000000" w:themeColor="text1"/>
        </w:rPr>
        <w:t>Parágrafo.</w:t>
      </w:r>
      <w:r w:rsidRPr="00197AF3">
        <w:rPr>
          <w:rFonts w:ascii="Arial" w:hAnsi="Arial" w:cs="Arial"/>
          <w:color w:val="000000" w:themeColor="text1"/>
        </w:rPr>
        <w:t> Para efectos del cálculo del ingreso al productor para un determinado mes, la siguiente tabla señala los escenarios aplicables, según el valor del diferencial de compensación o participación en la fecha de cálculo, según corresponda, y de la tendencia mensualizada m, calculados de acuerdo con las definiciones cont</w:t>
      </w:r>
      <w:r w:rsidR="006A6F4C">
        <w:rPr>
          <w:rFonts w:ascii="Arial" w:hAnsi="Arial" w:cs="Arial"/>
          <w:color w:val="000000" w:themeColor="text1"/>
        </w:rPr>
        <w:t>enidas en la presente ley</w:t>
      </w:r>
      <w:r w:rsidRPr="00197AF3">
        <w:rPr>
          <w:rFonts w:ascii="Arial" w:hAnsi="Arial" w:cs="Arial"/>
          <w:color w:val="000000" w:themeColor="text1"/>
        </w:rPr>
        <w:t>: </w:t>
      </w:r>
    </w:p>
    <w:p w:rsidR="006A6F4C" w:rsidRPr="00197AF3" w:rsidRDefault="006A6F4C" w:rsidP="00C31D20">
      <w:pPr>
        <w:contextualSpacing/>
        <w:jc w:val="both"/>
        <w:rPr>
          <w:rFonts w:ascii="Arial" w:hAnsi="Arial" w:cs="Arial"/>
          <w:color w:val="000000" w:themeColor="text1"/>
        </w:rPr>
      </w:pPr>
    </w:p>
    <w:tbl>
      <w:tblPr>
        <w:tblW w:w="4000" w:type="pct"/>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56"/>
        <w:gridCol w:w="2300"/>
        <w:gridCol w:w="2386"/>
      </w:tblGrid>
      <w:tr w:rsidR="006A6F4C" w:rsidRPr="006261F6" w:rsidTr="006A6F4C">
        <w:trPr>
          <w:tblCellSpacing w:w="15" w:type="dxa"/>
          <w:jc w:val="center"/>
        </w:trPr>
        <w:tc>
          <w:tcPr>
            <w:tcW w:w="1700" w:type="pct"/>
            <w:tcBorders>
              <w:top w:val="outset" w:sz="6" w:space="0" w:color="auto"/>
              <w:left w:val="outset" w:sz="6" w:space="0" w:color="auto"/>
              <w:bottom w:val="outset" w:sz="6" w:space="0" w:color="auto"/>
              <w:right w:val="outset" w:sz="6" w:space="0" w:color="auto"/>
            </w:tcBorders>
            <w:vAlign w:val="center"/>
            <w:hideMark/>
          </w:tcPr>
          <w:p w:rsidR="006A6F4C" w:rsidRPr="006261F6" w:rsidRDefault="006A6F4C" w:rsidP="00C31D20">
            <w:pPr>
              <w:contextualSpacing/>
              <w:jc w:val="both"/>
              <w:rPr>
                <w:rFonts w:ascii="Arial" w:hAnsi="Arial" w:cs="Arial"/>
                <w:color w:val="000000" w:themeColor="text1"/>
                <w:sz w:val="16"/>
                <w:szCs w:val="16"/>
              </w:rPr>
            </w:pPr>
            <w:r w:rsidRPr="006261F6">
              <w:rPr>
                <w:rFonts w:ascii="Arial" w:hAnsi="Arial" w:cs="Arial"/>
                <w:color w:val="000000" w:themeColor="text1"/>
                <w:sz w:val="16"/>
                <w:szCs w:val="16"/>
              </w:rPr>
              <w:t> </w:t>
            </w:r>
          </w:p>
        </w:tc>
        <w:tc>
          <w:tcPr>
            <w:tcW w:w="1600" w:type="pct"/>
            <w:tcBorders>
              <w:top w:val="outset" w:sz="6" w:space="0" w:color="auto"/>
              <w:left w:val="outset" w:sz="6" w:space="0" w:color="auto"/>
              <w:bottom w:val="outset" w:sz="6" w:space="0" w:color="auto"/>
              <w:right w:val="outset" w:sz="6" w:space="0" w:color="auto"/>
            </w:tcBorders>
            <w:vAlign w:val="center"/>
            <w:hideMark/>
          </w:tcPr>
          <w:p w:rsidR="006A6F4C" w:rsidRPr="006261F6" w:rsidRDefault="006A6F4C" w:rsidP="00C31D20">
            <w:pPr>
              <w:contextualSpacing/>
              <w:jc w:val="center"/>
              <w:rPr>
                <w:rFonts w:ascii="Arial" w:hAnsi="Arial" w:cs="Arial"/>
                <w:color w:val="000000" w:themeColor="text1"/>
                <w:sz w:val="16"/>
                <w:szCs w:val="16"/>
              </w:rPr>
            </w:pPr>
            <w:r w:rsidRPr="006261F6">
              <w:rPr>
                <w:rFonts w:ascii="Arial" w:hAnsi="Arial" w:cs="Arial"/>
                <w:b/>
                <w:bCs/>
                <w:color w:val="000000" w:themeColor="text1"/>
                <w:sz w:val="16"/>
                <w:szCs w:val="16"/>
              </w:rPr>
              <w:t>Diferencial positivo en la fecha de cálculo</w:t>
            </w:r>
          </w:p>
        </w:tc>
        <w:tc>
          <w:tcPr>
            <w:tcW w:w="1650" w:type="pct"/>
            <w:tcBorders>
              <w:top w:val="outset" w:sz="6" w:space="0" w:color="auto"/>
              <w:left w:val="outset" w:sz="6" w:space="0" w:color="auto"/>
              <w:bottom w:val="outset" w:sz="6" w:space="0" w:color="auto"/>
              <w:right w:val="outset" w:sz="6" w:space="0" w:color="auto"/>
            </w:tcBorders>
            <w:vAlign w:val="center"/>
            <w:hideMark/>
          </w:tcPr>
          <w:p w:rsidR="006A6F4C" w:rsidRPr="006261F6" w:rsidRDefault="006A6F4C" w:rsidP="00C31D20">
            <w:pPr>
              <w:contextualSpacing/>
              <w:jc w:val="center"/>
              <w:rPr>
                <w:rFonts w:ascii="Arial" w:hAnsi="Arial" w:cs="Arial"/>
                <w:color w:val="000000" w:themeColor="text1"/>
                <w:sz w:val="16"/>
                <w:szCs w:val="16"/>
              </w:rPr>
            </w:pPr>
            <w:r w:rsidRPr="006261F6">
              <w:rPr>
                <w:rFonts w:ascii="Arial" w:hAnsi="Arial" w:cs="Arial"/>
                <w:b/>
                <w:bCs/>
                <w:color w:val="000000" w:themeColor="text1"/>
                <w:sz w:val="16"/>
                <w:szCs w:val="16"/>
              </w:rPr>
              <w:t>Diferencial negativo en la fecha de cálculo</w:t>
            </w:r>
          </w:p>
        </w:tc>
      </w:tr>
      <w:tr w:rsidR="006A6F4C" w:rsidRPr="006261F6" w:rsidTr="006A6F4C">
        <w:trPr>
          <w:tblCellSpacing w:w="15" w:type="dxa"/>
          <w:jc w:val="center"/>
        </w:trPr>
        <w:tc>
          <w:tcPr>
            <w:tcW w:w="1700" w:type="pct"/>
            <w:tcBorders>
              <w:top w:val="outset" w:sz="6" w:space="0" w:color="auto"/>
              <w:left w:val="outset" w:sz="6" w:space="0" w:color="auto"/>
              <w:bottom w:val="outset" w:sz="6" w:space="0" w:color="auto"/>
              <w:right w:val="outset" w:sz="6" w:space="0" w:color="auto"/>
            </w:tcBorders>
            <w:vAlign w:val="center"/>
            <w:hideMark/>
          </w:tcPr>
          <w:p w:rsidR="006A6F4C" w:rsidRPr="006261F6" w:rsidRDefault="006A6F4C" w:rsidP="00C31D20">
            <w:pPr>
              <w:contextualSpacing/>
              <w:jc w:val="center"/>
              <w:rPr>
                <w:rFonts w:ascii="Arial" w:hAnsi="Arial" w:cs="Arial"/>
                <w:color w:val="000000" w:themeColor="text1"/>
                <w:sz w:val="16"/>
                <w:szCs w:val="16"/>
              </w:rPr>
            </w:pPr>
            <w:r w:rsidRPr="006261F6">
              <w:rPr>
                <w:rFonts w:ascii="Arial" w:hAnsi="Arial" w:cs="Arial"/>
                <w:color w:val="000000" w:themeColor="text1"/>
                <w:sz w:val="16"/>
                <w:szCs w:val="16"/>
              </w:rPr>
              <w:t>Tendencia creciente (m≥0)</w:t>
            </w:r>
          </w:p>
        </w:tc>
        <w:tc>
          <w:tcPr>
            <w:tcW w:w="1600" w:type="pct"/>
            <w:tcBorders>
              <w:top w:val="outset" w:sz="6" w:space="0" w:color="auto"/>
              <w:left w:val="outset" w:sz="6" w:space="0" w:color="auto"/>
              <w:bottom w:val="outset" w:sz="6" w:space="0" w:color="auto"/>
              <w:right w:val="outset" w:sz="6" w:space="0" w:color="auto"/>
            </w:tcBorders>
            <w:vAlign w:val="center"/>
            <w:hideMark/>
          </w:tcPr>
          <w:p w:rsidR="006A6F4C" w:rsidRPr="006261F6" w:rsidRDefault="006A6F4C" w:rsidP="00C31D20">
            <w:pPr>
              <w:contextualSpacing/>
              <w:jc w:val="center"/>
              <w:rPr>
                <w:rFonts w:ascii="Arial" w:hAnsi="Arial" w:cs="Arial"/>
                <w:color w:val="000000" w:themeColor="text1"/>
                <w:sz w:val="16"/>
                <w:szCs w:val="16"/>
              </w:rPr>
            </w:pPr>
            <w:r>
              <w:rPr>
                <w:rFonts w:ascii="Arial" w:hAnsi="Arial" w:cs="Arial"/>
                <w:color w:val="000000" w:themeColor="text1"/>
                <w:sz w:val="16"/>
                <w:szCs w:val="16"/>
              </w:rPr>
              <w:t>c=min [m, 3</w:t>
            </w:r>
            <w:r w:rsidRPr="006261F6">
              <w:rPr>
                <w:rFonts w:ascii="Arial" w:hAnsi="Arial" w:cs="Arial"/>
                <w:color w:val="000000" w:themeColor="text1"/>
                <w:sz w:val="16"/>
                <w:szCs w:val="16"/>
              </w:rPr>
              <w:t>%]</w:t>
            </w:r>
          </w:p>
        </w:tc>
        <w:tc>
          <w:tcPr>
            <w:tcW w:w="1650" w:type="pct"/>
            <w:tcBorders>
              <w:top w:val="outset" w:sz="6" w:space="0" w:color="auto"/>
              <w:left w:val="outset" w:sz="6" w:space="0" w:color="auto"/>
              <w:bottom w:val="outset" w:sz="6" w:space="0" w:color="auto"/>
              <w:right w:val="outset" w:sz="6" w:space="0" w:color="auto"/>
            </w:tcBorders>
            <w:vAlign w:val="center"/>
            <w:hideMark/>
          </w:tcPr>
          <w:p w:rsidR="006A6F4C" w:rsidRPr="006261F6" w:rsidRDefault="006A6F4C" w:rsidP="00C31D20">
            <w:pPr>
              <w:contextualSpacing/>
              <w:jc w:val="center"/>
              <w:rPr>
                <w:rFonts w:ascii="Arial" w:hAnsi="Arial" w:cs="Arial"/>
                <w:color w:val="000000" w:themeColor="text1"/>
                <w:sz w:val="16"/>
                <w:szCs w:val="16"/>
              </w:rPr>
            </w:pPr>
            <w:r w:rsidRPr="006261F6">
              <w:rPr>
                <w:rFonts w:ascii="Arial" w:hAnsi="Arial" w:cs="Arial"/>
                <w:color w:val="000000" w:themeColor="text1"/>
                <w:sz w:val="16"/>
                <w:szCs w:val="16"/>
              </w:rPr>
              <w:t>c=0</w:t>
            </w:r>
          </w:p>
        </w:tc>
      </w:tr>
      <w:tr w:rsidR="006A6F4C" w:rsidRPr="006261F6" w:rsidTr="006A6F4C">
        <w:trPr>
          <w:tblCellSpacing w:w="15" w:type="dxa"/>
          <w:jc w:val="center"/>
        </w:trPr>
        <w:tc>
          <w:tcPr>
            <w:tcW w:w="1700" w:type="pct"/>
            <w:tcBorders>
              <w:top w:val="outset" w:sz="6" w:space="0" w:color="auto"/>
              <w:left w:val="outset" w:sz="6" w:space="0" w:color="auto"/>
              <w:bottom w:val="outset" w:sz="6" w:space="0" w:color="auto"/>
              <w:right w:val="outset" w:sz="6" w:space="0" w:color="auto"/>
            </w:tcBorders>
            <w:vAlign w:val="center"/>
            <w:hideMark/>
          </w:tcPr>
          <w:p w:rsidR="006A6F4C" w:rsidRPr="006261F6" w:rsidRDefault="006A6F4C" w:rsidP="00C31D20">
            <w:pPr>
              <w:contextualSpacing/>
              <w:jc w:val="center"/>
              <w:rPr>
                <w:rFonts w:ascii="Arial" w:hAnsi="Arial" w:cs="Arial"/>
                <w:color w:val="000000" w:themeColor="text1"/>
                <w:sz w:val="16"/>
                <w:szCs w:val="16"/>
              </w:rPr>
            </w:pPr>
            <w:r w:rsidRPr="006261F6">
              <w:rPr>
                <w:rFonts w:ascii="Arial" w:hAnsi="Arial" w:cs="Arial"/>
                <w:color w:val="000000" w:themeColor="text1"/>
                <w:sz w:val="16"/>
                <w:szCs w:val="16"/>
              </w:rPr>
              <w:t>Tendencia decreciente (m&lt;0)</w:t>
            </w:r>
          </w:p>
        </w:tc>
        <w:tc>
          <w:tcPr>
            <w:tcW w:w="1600" w:type="pct"/>
            <w:tcBorders>
              <w:top w:val="outset" w:sz="6" w:space="0" w:color="auto"/>
              <w:left w:val="outset" w:sz="6" w:space="0" w:color="auto"/>
              <w:bottom w:val="outset" w:sz="6" w:space="0" w:color="auto"/>
              <w:right w:val="outset" w:sz="6" w:space="0" w:color="auto"/>
            </w:tcBorders>
            <w:vAlign w:val="center"/>
            <w:hideMark/>
          </w:tcPr>
          <w:p w:rsidR="006A6F4C" w:rsidRPr="006261F6" w:rsidRDefault="006A6F4C" w:rsidP="00C31D20">
            <w:pPr>
              <w:contextualSpacing/>
              <w:jc w:val="center"/>
              <w:rPr>
                <w:rFonts w:ascii="Arial" w:hAnsi="Arial" w:cs="Arial"/>
                <w:color w:val="000000" w:themeColor="text1"/>
                <w:sz w:val="16"/>
                <w:szCs w:val="16"/>
              </w:rPr>
            </w:pPr>
            <w:r w:rsidRPr="006261F6">
              <w:rPr>
                <w:rFonts w:ascii="Arial" w:hAnsi="Arial" w:cs="Arial"/>
                <w:color w:val="000000" w:themeColor="text1"/>
                <w:sz w:val="16"/>
                <w:szCs w:val="16"/>
              </w:rPr>
              <w:t>c=0</w:t>
            </w:r>
          </w:p>
        </w:tc>
        <w:tc>
          <w:tcPr>
            <w:tcW w:w="1650" w:type="pct"/>
            <w:tcBorders>
              <w:top w:val="outset" w:sz="6" w:space="0" w:color="auto"/>
              <w:left w:val="outset" w:sz="6" w:space="0" w:color="auto"/>
              <w:bottom w:val="outset" w:sz="6" w:space="0" w:color="auto"/>
              <w:right w:val="outset" w:sz="6" w:space="0" w:color="auto"/>
            </w:tcBorders>
            <w:vAlign w:val="center"/>
            <w:hideMark/>
          </w:tcPr>
          <w:p w:rsidR="006A6F4C" w:rsidRPr="006261F6" w:rsidRDefault="006A6F4C" w:rsidP="00C31D20">
            <w:pPr>
              <w:contextualSpacing/>
              <w:jc w:val="center"/>
              <w:rPr>
                <w:rFonts w:ascii="Arial" w:hAnsi="Arial" w:cs="Arial"/>
                <w:color w:val="000000" w:themeColor="text1"/>
                <w:sz w:val="16"/>
                <w:szCs w:val="16"/>
              </w:rPr>
            </w:pPr>
            <w:r>
              <w:rPr>
                <w:rFonts w:ascii="Arial" w:hAnsi="Arial" w:cs="Arial"/>
                <w:color w:val="000000" w:themeColor="text1"/>
                <w:sz w:val="16"/>
                <w:szCs w:val="16"/>
              </w:rPr>
              <w:t>c=máx. [m, 3</w:t>
            </w:r>
            <w:r w:rsidRPr="006261F6">
              <w:rPr>
                <w:rFonts w:ascii="Arial" w:hAnsi="Arial" w:cs="Arial"/>
                <w:color w:val="000000" w:themeColor="text1"/>
                <w:sz w:val="16"/>
                <w:szCs w:val="16"/>
              </w:rPr>
              <w:t>%]</w:t>
            </w:r>
          </w:p>
        </w:tc>
      </w:tr>
    </w:tbl>
    <w:p w:rsidR="008230BC" w:rsidRPr="00197AF3" w:rsidRDefault="008230BC" w:rsidP="00C31D20">
      <w:pPr>
        <w:contextualSpacing/>
        <w:jc w:val="both"/>
        <w:rPr>
          <w:rFonts w:ascii="Arial" w:hAnsi="Arial" w:cs="Arial"/>
          <w:color w:val="000000" w:themeColor="text1"/>
        </w:rPr>
      </w:pPr>
    </w:p>
    <w:p w:rsidR="00F31CCC" w:rsidRPr="00197AF3" w:rsidRDefault="00F31CCC" w:rsidP="00C31D20">
      <w:pPr>
        <w:contextualSpacing/>
        <w:jc w:val="both"/>
        <w:rPr>
          <w:rFonts w:ascii="Arial" w:hAnsi="Arial" w:cs="Arial"/>
          <w:color w:val="000000" w:themeColor="text1"/>
        </w:rPr>
      </w:pPr>
      <w:r w:rsidRPr="00197AF3">
        <w:rPr>
          <w:rFonts w:ascii="Arial" w:hAnsi="Arial" w:cs="Arial"/>
          <w:color w:val="000000" w:themeColor="text1"/>
        </w:rPr>
        <w:fldChar w:fldCharType="begin"/>
      </w:r>
      <w:r w:rsidRPr="00197AF3">
        <w:rPr>
          <w:rFonts w:ascii="Arial" w:hAnsi="Arial" w:cs="Arial"/>
          <w:color w:val="000000" w:themeColor="text1"/>
        </w:rPr>
        <w:instrText xml:space="preserve"> INCLUDEPICTURE "http://suin-juriscol.gov.co/imagenes/graficas/r_mme_18-1602_2011_obj_18.jpg" \* MERGEFORMATINET </w:instrText>
      </w:r>
      <w:r w:rsidRPr="00197AF3">
        <w:rPr>
          <w:rFonts w:ascii="Arial" w:hAnsi="Arial" w:cs="Arial"/>
          <w:color w:val="000000" w:themeColor="text1"/>
        </w:rPr>
        <w:fldChar w:fldCharType="end"/>
      </w:r>
      <w:bookmarkStart w:id="0" w:name="ver_4033483"/>
      <w:bookmarkEnd w:id="0"/>
      <w:r w:rsidR="006A6F4C" w:rsidRPr="00197AF3">
        <w:rPr>
          <w:rFonts w:ascii="Arial" w:hAnsi="Arial" w:cs="Arial"/>
          <w:b/>
          <w:bCs/>
          <w:color w:val="000000" w:themeColor="text1"/>
        </w:rPr>
        <w:t>Parágrafo</w:t>
      </w:r>
      <w:r w:rsidR="00D87317" w:rsidRPr="00197AF3">
        <w:rPr>
          <w:rFonts w:ascii="Arial" w:hAnsi="Arial" w:cs="Arial"/>
          <w:b/>
          <w:bCs/>
          <w:color w:val="000000" w:themeColor="text1"/>
        </w:rPr>
        <w:t xml:space="preserve"> 1</w:t>
      </w:r>
      <w:r w:rsidRPr="00197AF3">
        <w:rPr>
          <w:rFonts w:ascii="Arial" w:hAnsi="Arial" w:cs="Arial"/>
          <w:b/>
          <w:bCs/>
          <w:color w:val="000000" w:themeColor="text1"/>
        </w:rPr>
        <w:t>°.</w:t>
      </w:r>
      <w:r w:rsidRPr="00197AF3">
        <w:rPr>
          <w:rFonts w:ascii="Arial" w:hAnsi="Arial" w:cs="Arial"/>
          <w:color w:val="000000" w:themeColor="text1"/>
        </w:rPr>
        <w:t xml:space="preserve"> Con base en los cálculos realizados para la fecha de cálculo, el Ministerio de </w:t>
      </w:r>
      <w:r w:rsidR="00D87317" w:rsidRPr="00197AF3">
        <w:rPr>
          <w:rFonts w:ascii="Arial" w:hAnsi="Arial" w:cs="Arial"/>
          <w:color w:val="000000" w:themeColor="text1"/>
        </w:rPr>
        <w:t xml:space="preserve">Hacienda y </w:t>
      </w:r>
      <w:r w:rsidR="000810F8" w:rsidRPr="00197AF3">
        <w:rPr>
          <w:rFonts w:ascii="Arial" w:hAnsi="Arial" w:cs="Arial"/>
          <w:color w:val="000000" w:themeColor="text1"/>
        </w:rPr>
        <w:t>Crédito</w:t>
      </w:r>
      <w:r w:rsidR="00D87317" w:rsidRPr="00197AF3">
        <w:rPr>
          <w:rFonts w:ascii="Arial" w:hAnsi="Arial" w:cs="Arial"/>
          <w:color w:val="000000" w:themeColor="text1"/>
        </w:rPr>
        <w:t xml:space="preserve"> Pu</w:t>
      </w:r>
      <w:r w:rsidR="000810F8">
        <w:rPr>
          <w:rFonts w:ascii="Arial" w:hAnsi="Arial" w:cs="Arial"/>
          <w:color w:val="000000" w:themeColor="text1"/>
        </w:rPr>
        <w:t>blico  con revisión y verificación d</w:t>
      </w:r>
      <w:r w:rsidR="00D87317" w:rsidRPr="00197AF3">
        <w:rPr>
          <w:rFonts w:ascii="Arial" w:hAnsi="Arial" w:cs="Arial"/>
          <w:color w:val="000000" w:themeColor="text1"/>
        </w:rPr>
        <w:t>el Observatorio de Control y Vigilancia de las Finanzas y las Políticas Públicas</w:t>
      </w:r>
      <w:r w:rsidR="00D87317" w:rsidRPr="00197AF3">
        <w:rPr>
          <w:rFonts w:ascii="Arial" w:hAnsi="Arial" w:cs="Arial"/>
          <w:b/>
          <w:bCs/>
          <w:color w:val="000000" w:themeColor="text1"/>
        </w:rPr>
        <w:t xml:space="preserve"> - </w:t>
      </w:r>
      <w:r w:rsidR="00D87317" w:rsidRPr="00197AF3">
        <w:rPr>
          <w:rFonts w:ascii="Arial" w:hAnsi="Arial" w:cs="Arial"/>
          <w:color w:val="000000" w:themeColor="text1"/>
          <w:shd w:val="clear" w:color="auto" w:fill="FFFFFF"/>
        </w:rPr>
        <w:t>Contraloría General de la República</w:t>
      </w:r>
      <w:r w:rsidR="008230BC" w:rsidRPr="00197AF3">
        <w:rPr>
          <w:rFonts w:ascii="Arial" w:hAnsi="Arial" w:cs="Arial"/>
          <w:color w:val="000000" w:themeColor="text1"/>
        </w:rPr>
        <w:t>;</w:t>
      </w:r>
      <w:r w:rsidRPr="00197AF3">
        <w:rPr>
          <w:rFonts w:ascii="Arial" w:hAnsi="Arial" w:cs="Arial"/>
          <w:color w:val="000000" w:themeColor="text1"/>
        </w:rPr>
        <w:t xml:space="preserve"> determina</w:t>
      </w:r>
      <w:r w:rsidR="008230BC" w:rsidRPr="00197AF3">
        <w:rPr>
          <w:rFonts w:ascii="Arial" w:hAnsi="Arial" w:cs="Arial"/>
          <w:color w:val="000000" w:themeColor="text1"/>
        </w:rPr>
        <w:t>ran</w:t>
      </w:r>
      <w:r w:rsidR="00D87317" w:rsidRPr="00197AF3">
        <w:rPr>
          <w:rFonts w:ascii="Arial" w:hAnsi="Arial" w:cs="Arial"/>
          <w:color w:val="000000" w:themeColor="text1"/>
        </w:rPr>
        <w:t xml:space="preserve">, revisaran y verificaran </w:t>
      </w:r>
      <w:r w:rsidRPr="00197AF3">
        <w:rPr>
          <w:rFonts w:ascii="Arial" w:hAnsi="Arial" w:cs="Arial"/>
          <w:color w:val="000000" w:themeColor="text1"/>
        </w:rPr>
        <w:t xml:space="preserve">el </w:t>
      </w:r>
      <w:r w:rsidR="000810F8">
        <w:rPr>
          <w:rFonts w:ascii="Arial" w:hAnsi="Arial" w:cs="Arial"/>
          <w:color w:val="000000" w:themeColor="text1"/>
        </w:rPr>
        <w:t xml:space="preserve">cálculo al </w:t>
      </w:r>
      <w:r w:rsidRPr="00197AF3">
        <w:rPr>
          <w:rFonts w:ascii="Arial" w:hAnsi="Arial" w:cs="Arial"/>
          <w:color w:val="000000" w:themeColor="text1"/>
        </w:rPr>
        <w:t>Ingreso al Productor vigente para el siguiente mes de acuerdo con la fórmula señalada a continuación: </w:t>
      </w:r>
    </w:p>
    <w:p w:rsidR="00F31CCC" w:rsidRPr="00197AF3" w:rsidRDefault="00F31CCC" w:rsidP="00C31D20">
      <w:pPr>
        <w:contextualSpacing/>
        <w:jc w:val="both"/>
        <w:rPr>
          <w:rFonts w:ascii="Arial" w:hAnsi="Arial" w:cs="Arial"/>
          <w:color w:val="000000" w:themeColor="text1"/>
        </w:rPr>
      </w:pPr>
      <w:r w:rsidRPr="00197AF3">
        <w:rPr>
          <w:rFonts w:ascii="Arial" w:hAnsi="Arial" w:cs="Arial"/>
          <w:color w:val="000000" w:themeColor="text1"/>
        </w:rPr>
        <w:t>  </w:t>
      </w:r>
    </w:p>
    <w:p w:rsidR="00F31CCC" w:rsidRPr="00197AF3" w:rsidRDefault="00F31CCC" w:rsidP="00C31D20">
      <w:pPr>
        <w:contextualSpacing/>
        <w:jc w:val="center"/>
        <w:rPr>
          <w:rFonts w:ascii="Arial" w:hAnsi="Arial" w:cs="Arial"/>
          <w:b/>
          <w:bCs/>
          <w:color w:val="000000" w:themeColor="text1"/>
        </w:rPr>
      </w:pPr>
      <w:r w:rsidRPr="00197AF3">
        <w:rPr>
          <w:rFonts w:ascii="Arial" w:hAnsi="Arial" w:cs="Arial"/>
          <w:b/>
          <w:bCs/>
          <w:color w:val="000000" w:themeColor="text1"/>
        </w:rPr>
        <w:t>IP(siguiente mes) = IP(vigente) * (1+c)</w:t>
      </w:r>
    </w:p>
    <w:p w:rsidR="00D87317" w:rsidRPr="00197AF3" w:rsidRDefault="00D87317" w:rsidP="00C31D20">
      <w:pPr>
        <w:contextualSpacing/>
        <w:jc w:val="both"/>
        <w:rPr>
          <w:rFonts w:ascii="Arial" w:hAnsi="Arial" w:cs="Arial"/>
          <w:color w:val="000000" w:themeColor="text1"/>
        </w:rPr>
      </w:pPr>
    </w:p>
    <w:p w:rsidR="008230BC" w:rsidRPr="006A6F4C" w:rsidRDefault="00D87317" w:rsidP="00C31D20">
      <w:pPr>
        <w:pStyle w:val="NormalWeb"/>
        <w:spacing w:before="0" w:beforeAutospacing="0" w:after="0" w:afterAutospacing="0" w:line="254" w:lineRule="atLeast"/>
        <w:contextualSpacing/>
        <w:jc w:val="both"/>
        <w:rPr>
          <w:rFonts w:ascii="Arial" w:hAnsi="Arial" w:cs="Arial"/>
          <w:color w:val="000000"/>
        </w:rPr>
      </w:pPr>
      <w:proofErr w:type="spellStart"/>
      <w:r w:rsidRPr="00197AF3">
        <w:rPr>
          <w:rFonts w:ascii="Arial" w:hAnsi="Arial" w:cs="Arial"/>
          <w:b/>
          <w:bCs/>
          <w:color w:val="000000" w:themeColor="text1"/>
        </w:rPr>
        <w:t>Paragrafo</w:t>
      </w:r>
      <w:proofErr w:type="spellEnd"/>
      <w:r w:rsidRPr="00197AF3">
        <w:rPr>
          <w:rFonts w:ascii="Arial" w:hAnsi="Arial" w:cs="Arial"/>
          <w:b/>
          <w:bCs/>
          <w:color w:val="000000" w:themeColor="text1"/>
        </w:rPr>
        <w:t xml:space="preserve"> 2°.</w:t>
      </w:r>
      <w:r w:rsidRPr="00197AF3">
        <w:rPr>
          <w:rFonts w:ascii="Arial" w:hAnsi="Arial" w:cs="Arial"/>
          <w:color w:val="000000" w:themeColor="text1"/>
        </w:rPr>
        <w:t xml:space="preserve"> Con el fin de establecer política clara y transparente a la estructura del precio de los combustibles, </w:t>
      </w:r>
      <w:r w:rsidR="008230BC" w:rsidRPr="00197AF3">
        <w:rPr>
          <w:rFonts w:ascii="Arial" w:hAnsi="Arial" w:cs="Arial"/>
          <w:color w:val="000000" w:themeColor="text1"/>
        </w:rPr>
        <w:t>el Ministerio de Hacienda y Credito Publico y el Observatorio de Control y Vigilancia de las Finanzas y las Políticas Públicas</w:t>
      </w:r>
      <w:r w:rsidR="008230BC" w:rsidRPr="00197AF3">
        <w:rPr>
          <w:rFonts w:ascii="Arial" w:hAnsi="Arial" w:cs="Arial"/>
          <w:b/>
          <w:bCs/>
          <w:color w:val="000000" w:themeColor="text1"/>
        </w:rPr>
        <w:t xml:space="preserve"> - </w:t>
      </w:r>
      <w:r w:rsidR="008230BC" w:rsidRPr="00197AF3">
        <w:rPr>
          <w:rFonts w:ascii="Arial" w:hAnsi="Arial" w:cs="Arial"/>
          <w:color w:val="000000" w:themeColor="text1"/>
          <w:shd w:val="clear" w:color="auto" w:fill="FFFFFF"/>
        </w:rPr>
        <w:t>Contraloría General de la República</w:t>
      </w:r>
      <w:r w:rsidR="008230BC" w:rsidRPr="00197AF3">
        <w:rPr>
          <w:rFonts w:ascii="Arial" w:hAnsi="Arial" w:cs="Arial"/>
          <w:color w:val="000000" w:themeColor="text1"/>
        </w:rPr>
        <w:t xml:space="preserve">, </w:t>
      </w:r>
      <w:r w:rsidR="008230BC" w:rsidRPr="00F828AD">
        <w:rPr>
          <w:rFonts w:ascii="Arial" w:hAnsi="Arial" w:cs="Arial"/>
          <w:color w:val="000000" w:themeColor="text1"/>
        </w:rPr>
        <w:t>publicaran</w:t>
      </w:r>
      <w:r w:rsidR="00C540B7">
        <w:rPr>
          <w:rFonts w:ascii="Arial" w:hAnsi="Arial" w:cs="Arial"/>
          <w:color w:val="000000" w:themeColor="text1"/>
        </w:rPr>
        <w:t xml:space="preserve"> </w:t>
      </w:r>
      <w:r w:rsidR="000810F8">
        <w:rPr>
          <w:rFonts w:ascii="Arial" w:hAnsi="Arial" w:cs="Arial"/>
          <w:color w:val="000000" w:themeColor="text1"/>
        </w:rPr>
        <w:t xml:space="preserve">el cálculo de la anterior formula </w:t>
      </w:r>
      <w:r w:rsidR="00F828AD">
        <w:rPr>
          <w:rFonts w:ascii="Arial" w:hAnsi="Arial" w:cs="Arial"/>
          <w:color w:val="000000" w:themeColor="text1"/>
        </w:rPr>
        <w:t xml:space="preserve">abiertamente </w:t>
      </w:r>
      <w:r w:rsidR="00C540B7">
        <w:rPr>
          <w:rFonts w:ascii="Arial" w:hAnsi="Arial" w:cs="Arial"/>
          <w:color w:val="000000" w:themeColor="text1"/>
        </w:rPr>
        <w:t>en las correspondientes paginas oficiales de las entidades</w:t>
      </w:r>
      <w:r w:rsidR="00F828AD">
        <w:rPr>
          <w:rFonts w:ascii="Arial" w:hAnsi="Arial" w:cs="Arial"/>
          <w:color w:val="000000" w:themeColor="text1"/>
        </w:rPr>
        <w:t xml:space="preserve">, asi </w:t>
      </w:r>
      <w:r w:rsidR="00C540B7">
        <w:rPr>
          <w:rFonts w:ascii="Arial" w:hAnsi="Arial" w:cs="Arial"/>
          <w:color w:val="000000" w:themeColor="text1"/>
        </w:rPr>
        <w:t>como enviaran copia fisica a la Secretaria</w:t>
      </w:r>
      <w:r w:rsidR="000810F8">
        <w:rPr>
          <w:rFonts w:ascii="Arial" w:hAnsi="Arial" w:cs="Arial"/>
          <w:color w:val="000000" w:themeColor="text1"/>
        </w:rPr>
        <w:t>s</w:t>
      </w:r>
      <w:r w:rsidR="00C540B7">
        <w:rPr>
          <w:rFonts w:ascii="Arial" w:hAnsi="Arial" w:cs="Arial"/>
          <w:color w:val="000000" w:themeColor="text1"/>
        </w:rPr>
        <w:t xml:space="preserve"> General</w:t>
      </w:r>
      <w:r w:rsidR="000810F8">
        <w:rPr>
          <w:rFonts w:ascii="Arial" w:hAnsi="Arial" w:cs="Arial"/>
          <w:color w:val="000000" w:themeColor="text1"/>
        </w:rPr>
        <w:t>es</w:t>
      </w:r>
      <w:r w:rsidR="00C540B7">
        <w:rPr>
          <w:rFonts w:ascii="Arial" w:hAnsi="Arial" w:cs="Arial"/>
          <w:color w:val="000000" w:themeColor="text1"/>
        </w:rPr>
        <w:t xml:space="preserve"> de la </w:t>
      </w:r>
      <w:r w:rsidR="000810F8">
        <w:rPr>
          <w:rFonts w:ascii="Arial" w:hAnsi="Arial" w:cs="Arial"/>
          <w:color w:val="000000" w:themeColor="text1"/>
        </w:rPr>
        <w:t>Cámara</w:t>
      </w:r>
      <w:r w:rsidR="00C540B7">
        <w:rPr>
          <w:rFonts w:ascii="Arial" w:hAnsi="Arial" w:cs="Arial"/>
          <w:color w:val="000000" w:themeColor="text1"/>
        </w:rPr>
        <w:t xml:space="preserve"> de Representantes y el Senado de la Republica</w:t>
      </w:r>
      <w:r w:rsidR="00D6779D">
        <w:rPr>
          <w:rFonts w:ascii="Arial" w:hAnsi="Arial" w:cs="Arial"/>
          <w:color w:val="000000" w:themeColor="text1"/>
        </w:rPr>
        <w:t xml:space="preserve">, </w:t>
      </w:r>
      <w:r w:rsidR="00D6779D">
        <w:rPr>
          <w:rFonts w:ascii="Arial" w:hAnsi="Arial" w:cs="Arial"/>
          <w:color w:val="000000"/>
        </w:rPr>
        <w:t>en un término no mayor a siete (07</w:t>
      </w:r>
      <w:r w:rsidR="00D6779D" w:rsidRPr="00197AF3">
        <w:rPr>
          <w:rFonts w:ascii="Arial" w:hAnsi="Arial" w:cs="Arial"/>
          <w:color w:val="000000"/>
        </w:rPr>
        <w:t xml:space="preserve">) días calendario posteriores al </w:t>
      </w:r>
      <w:r w:rsidR="00D6779D">
        <w:rPr>
          <w:rFonts w:ascii="Arial" w:hAnsi="Arial" w:cs="Arial"/>
          <w:color w:val="000000"/>
        </w:rPr>
        <w:t xml:space="preserve">cálculo mencionado en el presente artículo. </w:t>
      </w:r>
    </w:p>
    <w:p w:rsidR="008230BC" w:rsidRPr="00197AF3" w:rsidRDefault="008230BC" w:rsidP="00C31D20">
      <w:pPr>
        <w:shd w:val="clear" w:color="auto" w:fill="FFFFFF"/>
        <w:contextualSpacing/>
        <w:jc w:val="both"/>
        <w:rPr>
          <w:rFonts w:ascii="Arial" w:hAnsi="Arial" w:cs="Arial"/>
          <w:color w:val="000000" w:themeColor="text1"/>
        </w:rPr>
      </w:pPr>
    </w:p>
    <w:p w:rsidR="00F039AD" w:rsidRDefault="000810F8" w:rsidP="00C31D20">
      <w:pPr>
        <w:contextualSpacing/>
        <w:jc w:val="both"/>
        <w:rPr>
          <w:rFonts w:ascii="Arial" w:hAnsi="Arial" w:cs="Arial"/>
          <w:color w:val="000000"/>
        </w:rPr>
      </w:pPr>
      <w:r>
        <w:rPr>
          <w:rFonts w:ascii="Arial" w:hAnsi="Arial" w:cs="Arial"/>
          <w:b/>
          <w:bCs/>
          <w:color w:val="000000" w:themeColor="text1"/>
          <w:u w:val="single"/>
        </w:rPr>
        <w:lastRenderedPageBreak/>
        <w:t>Articulo 4</w:t>
      </w:r>
      <w:r w:rsidR="006A788C" w:rsidRPr="00197AF3">
        <w:rPr>
          <w:rFonts w:ascii="Arial" w:hAnsi="Arial" w:cs="Arial"/>
          <w:b/>
          <w:bCs/>
          <w:color w:val="000000" w:themeColor="text1"/>
          <w:u w:val="single"/>
        </w:rPr>
        <w:t>.2º.</w:t>
      </w:r>
      <w:r w:rsidR="006A788C" w:rsidRPr="00197AF3">
        <w:rPr>
          <w:rFonts w:ascii="Arial" w:hAnsi="Arial" w:cs="Arial"/>
          <w:color w:val="000000" w:themeColor="text1"/>
          <w:u w:val="single"/>
        </w:rPr>
        <w:t> </w:t>
      </w:r>
      <w:r w:rsidR="00EA73B0" w:rsidRPr="00EA73B0">
        <w:rPr>
          <w:rFonts w:ascii="Arial" w:hAnsi="Arial" w:cs="Arial"/>
          <w:b/>
          <w:color w:val="000000" w:themeColor="text1"/>
          <w:u w:val="single"/>
        </w:rPr>
        <w:t>Ingreso al Productor de</w:t>
      </w:r>
      <w:r w:rsidR="00EA73B0">
        <w:rPr>
          <w:rFonts w:ascii="Arial" w:hAnsi="Arial" w:cs="Arial"/>
          <w:color w:val="000000" w:themeColor="text1"/>
          <w:u w:val="single"/>
        </w:rPr>
        <w:t xml:space="preserve"> </w:t>
      </w:r>
      <w:r w:rsidR="00F06A1C" w:rsidRPr="00197AF3">
        <w:rPr>
          <w:rFonts w:ascii="Arial" w:hAnsi="Arial" w:cs="Arial"/>
          <w:b/>
          <w:bCs/>
          <w:color w:val="000000" w:themeColor="text1"/>
          <w:u w:val="single"/>
        </w:rPr>
        <w:t xml:space="preserve"> </w:t>
      </w:r>
      <w:r w:rsidR="00C540B7" w:rsidRPr="00197AF3">
        <w:rPr>
          <w:rFonts w:ascii="Arial" w:hAnsi="Arial" w:cs="Arial"/>
          <w:b/>
          <w:bCs/>
          <w:color w:val="000000" w:themeColor="text1"/>
          <w:u w:val="single"/>
        </w:rPr>
        <w:t>ACPM</w:t>
      </w:r>
      <w:r w:rsidR="008230BC" w:rsidRPr="00197AF3">
        <w:rPr>
          <w:rFonts w:ascii="Arial" w:hAnsi="Arial" w:cs="Arial"/>
          <w:b/>
          <w:bCs/>
          <w:color w:val="000000" w:themeColor="text1"/>
          <w:u w:val="single"/>
        </w:rPr>
        <w:t>:</w:t>
      </w:r>
      <w:r>
        <w:rPr>
          <w:rFonts w:ascii="Arial" w:hAnsi="Arial" w:cs="Arial"/>
          <w:b/>
          <w:bCs/>
          <w:color w:val="000000" w:themeColor="text1"/>
          <w:u w:val="single"/>
        </w:rPr>
        <w:t xml:space="preserve"> </w:t>
      </w:r>
      <w:r w:rsidR="00F039AD" w:rsidRPr="000810F8">
        <w:rPr>
          <w:rFonts w:ascii="Arial" w:hAnsi="Arial" w:cs="Arial"/>
          <w:bCs/>
          <w:color w:val="000000" w:themeColor="text1"/>
        </w:rPr>
        <w:t xml:space="preserve">El cual será publicado mes a mes según las normas de </w:t>
      </w:r>
      <w:r w:rsidR="00F039AD" w:rsidRPr="000810F8">
        <w:rPr>
          <w:rFonts w:ascii="Arial" w:hAnsi="Arial" w:cs="Arial"/>
          <w:color w:val="000000"/>
        </w:rPr>
        <w:t xml:space="preserve">Transparencia y del Derecho de Acceso a la Información Pública Nacional, con el fin de que sea de </w:t>
      </w:r>
      <w:r w:rsidR="00F039AD">
        <w:rPr>
          <w:rFonts w:ascii="Arial" w:hAnsi="Arial" w:cs="Arial"/>
          <w:color w:val="000000"/>
        </w:rPr>
        <w:t xml:space="preserve">pública y de </w:t>
      </w:r>
      <w:r w:rsidR="00F039AD" w:rsidRPr="000810F8">
        <w:rPr>
          <w:rFonts w:ascii="Arial" w:hAnsi="Arial" w:cs="Arial"/>
          <w:color w:val="000000"/>
        </w:rPr>
        <w:t xml:space="preserve">fácil acceso para la comunidad. </w:t>
      </w:r>
    </w:p>
    <w:p w:rsidR="00B23CBA" w:rsidRPr="00197AF3" w:rsidRDefault="00B23CBA" w:rsidP="00C31D20">
      <w:pPr>
        <w:contextualSpacing/>
        <w:jc w:val="both"/>
        <w:rPr>
          <w:rFonts w:ascii="Arial" w:hAnsi="Arial" w:cs="Arial"/>
          <w:b/>
          <w:bCs/>
          <w:color w:val="000000" w:themeColor="text1"/>
          <w:u w:val="single"/>
        </w:rPr>
      </w:pPr>
    </w:p>
    <w:p w:rsidR="008230BC" w:rsidRPr="00197AF3" w:rsidRDefault="008230BC" w:rsidP="00C31D20">
      <w:pPr>
        <w:pStyle w:val="Ttulo2"/>
        <w:spacing w:before="0"/>
        <w:contextualSpacing/>
        <w:jc w:val="both"/>
        <w:rPr>
          <w:rFonts w:ascii="Arial" w:hAnsi="Arial" w:cs="Arial"/>
          <w:color w:val="000000" w:themeColor="text1"/>
          <w:sz w:val="24"/>
          <w:szCs w:val="24"/>
        </w:rPr>
      </w:pPr>
      <w:r w:rsidRPr="00197AF3">
        <w:rPr>
          <w:rFonts w:ascii="Arial" w:hAnsi="Arial" w:cs="Arial"/>
          <w:b/>
          <w:bCs/>
          <w:color w:val="000000" w:themeColor="text1"/>
          <w:sz w:val="24"/>
          <w:szCs w:val="24"/>
        </w:rPr>
        <w:t>Fecha de cálculo - FC:</w:t>
      </w:r>
      <w:r w:rsidRPr="00197AF3">
        <w:rPr>
          <w:rFonts w:ascii="Arial" w:hAnsi="Arial" w:cs="Arial"/>
          <w:color w:val="000000" w:themeColor="text1"/>
          <w:sz w:val="24"/>
          <w:szCs w:val="24"/>
        </w:rPr>
        <w:t> Corresponde al último día hábil de cada mes, es decir el día anterior al primer día calendario del mes siguiente.</w:t>
      </w:r>
    </w:p>
    <w:p w:rsidR="00B23CBA" w:rsidRPr="00197AF3" w:rsidRDefault="00B23CBA" w:rsidP="00C31D20">
      <w:pPr>
        <w:contextualSpacing/>
        <w:jc w:val="both"/>
        <w:rPr>
          <w:rFonts w:ascii="Arial" w:hAnsi="Arial" w:cs="Arial"/>
          <w:color w:val="000000" w:themeColor="text1"/>
        </w:rPr>
      </w:pPr>
    </w:p>
    <w:p w:rsidR="00F039AD" w:rsidRPr="00197AF3" w:rsidRDefault="008230BC" w:rsidP="00C31D20">
      <w:pPr>
        <w:contextualSpacing/>
        <w:jc w:val="both"/>
        <w:rPr>
          <w:rFonts w:ascii="Arial" w:hAnsi="Arial" w:cs="Arial"/>
          <w:color w:val="000000" w:themeColor="text1"/>
        </w:rPr>
      </w:pPr>
      <w:r w:rsidRPr="00197AF3">
        <w:rPr>
          <w:rFonts w:ascii="Arial" w:hAnsi="Arial" w:cs="Arial"/>
          <w:b/>
          <w:bCs/>
          <w:color w:val="000000" w:themeColor="text1"/>
        </w:rPr>
        <w:t>Ingreso al productor vigente - IP:</w:t>
      </w:r>
      <w:r w:rsidR="00F039AD">
        <w:rPr>
          <w:rFonts w:ascii="Arial" w:hAnsi="Arial" w:cs="Arial"/>
          <w:b/>
          <w:bCs/>
          <w:color w:val="000000" w:themeColor="text1"/>
        </w:rPr>
        <w:t xml:space="preserve"> </w:t>
      </w:r>
      <w:r w:rsidR="00F039AD" w:rsidRPr="00197AF3">
        <w:rPr>
          <w:rFonts w:ascii="Arial" w:hAnsi="Arial" w:cs="Arial"/>
          <w:color w:val="000000" w:themeColor="text1"/>
        </w:rPr>
        <w:t>Corresponde al valor establecido por el Ministerio de Hacienda y Crédito Público</w:t>
      </w:r>
      <w:r w:rsidR="00F039AD">
        <w:rPr>
          <w:rFonts w:ascii="Arial" w:hAnsi="Arial" w:cs="Arial"/>
          <w:color w:val="000000" w:themeColor="text1"/>
        </w:rPr>
        <w:t>, revisado y verificado por</w:t>
      </w:r>
      <w:r w:rsidR="00F039AD" w:rsidRPr="00197AF3">
        <w:rPr>
          <w:rFonts w:ascii="Arial" w:hAnsi="Arial" w:cs="Arial"/>
          <w:color w:val="000000" w:themeColor="text1"/>
        </w:rPr>
        <w:t xml:space="preserve"> el Observatorio de Control y Vigilancia de las Finanzas y las Políticas Públicas</w:t>
      </w:r>
      <w:r w:rsidR="00F039AD" w:rsidRPr="00197AF3">
        <w:rPr>
          <w:rFonts w:ascii="Arial" w:hAnsi="Arial" w:cs="Arial"/>
          <w:b/>
          <w:bCs/>
          <w:color w:val="000000" w:themeColor="text1"/>
        </w:rPr>
        <w:t xml:space="preserve"> - </w:t>
      </w:r>
      <w:r w:rsidR="00F039AD" w:rsidRPr="00197AF3">
        <w:rPr>
          <w:rFonts w:ascii="Arial" w:hAnsi="Arial" w:cs="Arial"/>
          <w:color w:val="000000" w:themeColor="text1"/>
          <w:shd w:val="clear" w:color="auto" w:fill="FFFFFF"/>
        </w:rPr>
        <w:t>Contraloría General de la República</w:t>
      </w:r>
      <w:r w:rsidR="00F039AD" w:rsidRPr="00197AF3">
        <w:rPr>
          <w:rFonts w:ascii="Arial" w:hAnsi="Arial" w:cs="Arial"/>
          <w:color w:val="000000" w:themeColor="text1"/>
        </w:rPr>
        <w:t xml:space="preserve">, para el Ingreso al Productor por galón </w:t>
      </w:r>
      <w:r w:rsidR="00F039AD" w:rsidRPr="000810F8">
        <w:rPr>
          <w:rFonts w:ascii="Arial" w:hAnsi="Arial" w:cs="Arial"/>
          <w:color w:val="000000" w:themeColor="text1"/>
        </w:rPr>
        <w:t xml:space="preserve">de </w:t>
      </w:r>
      <w:r w:rsidR="00F039AD" w:rsidRPr="000810F8">
        <w:rPr>
          <w:rFonts w:ascii="Arial" w:hAnsi="Arial" w:cs="Arial"/>
          <w:bCs/>
          <w:color w:val="000000" w:themeColor="text1"/>
        </w:rPr>
        <w:t>ACPM</w:t>
      </w:r>
      <w:r w:rsidR="00F039AD">
        <w:rPr>
          <w:rFonts w:ascii="Arial" w:hAnsi="Arial" w:cs="Arial"/>
          <w:bCs/>
          <w:color w:val="000000" w:themeColor="text1"/>
        </w:rPr>
        <w:t xml:space="preserve"> para uso en motores d</w:t>
      </w:r>
      <w:r w:rsidR="00F039AD" w:rsidRPr="000810F8">
        <w:rPr>
          <w:rFonts w:ascii="Arial" w:hAnsi="Arial" w:cs="Arial"/>
          <w:bCs/>
          <w:color w:val="000000" w:themeColor="text1"/>
        </w:rPr>
        <w:t>iesel</w:t>
      </w:r>
      <w:r w:rsidR="00F039AD" w:rsidRPr="000810F8">
        <w:rPr>
          <w:rFonts w:ascii="Arial" w:hAnsi="Arial" w:cs="Arial"/>
          <w:color w:val="000000" w:themeColor="text1"/>
        </w:rPr>
        <w:t xml:space="preserve"> dentro</w:t>
      </w:r>
      <w:r w:rsidR="00F039AD" w:rsidRPr="00197AF3">
        <w:rPr>
          <w:rFonts w:ascii="Arial" w:hAnsi="Arial" w:cs="Arial"/>
          <w:color w:val="000000" w:themeColor="text1"/>
        </w:rPr>
        <w:t xml:space="preserve"> de la estructura de precios para el mes en curso.  </w:t>
      </w:r>
    </w:p>
    <w:p w:rsidR="00B23CBA" w:rsidRPr="00197AF3" w:rsidRDefault="00B23CBA" w:rsidP="00C31D20">
      <w:pPr>
        <w:contextualSpacing/>
        <w:jc w:val="both"/>
        <w:rPr>
          <w:rFonts w:ascii="Arial" w:hAnsi="Arial" w:cs="Arial"/>
          <w:color w:val="000000" w:themeColor="text1"/>
        </w:rPr>
      </w:pPr>
    </w:p>
    <w:p w:rsidR="008230BC" w:rsidRPr="00197AF3" w:rsidRDefault="008230BC" w:rsidP="00C31D20">
      <w:pPr>
        <w:pStyle w:val="unico"/>
        <w:spacing w:before="0" w:beforeAutospacing="0" w:after="0" w:afterAutospacing="0"/>
        <w:contextualSpacing/>
        <w:jc w:val="both"/>
        <w:rPr>
          <w:rFonts w:ascii="Arial" w:hAnsi="Arial" w:cs="Arial"/>
          <w:color w:val="000000" w:themeColor="text1"/>
        </w:rPr>
      </w:pPr>
      <w:r w:rsidRPr="00197AF3">
        <w:rPr>
          <w:rFonts w:ascii="Arial" w:hAnsi="Arial" w:cs="Arial"/>
          <w:b/>
          <w:bCs/>
          <w:color w:val="000000" w:themeColor="text1"/>
        </w:rPr>
        <w:t>Precio diario paridad ponderada del ACPM - </w:t>
      </w:r>
      <w:r w:rsidRPr="00197AF3">
        <w:rPr>
          <w:rFonts w:ascii="Arial" w:hAnsi="Arial" w:cs="Arial"/>
          <w:color w:val="000000" w:themeColor="text1"/>
        </w:rPr>
        <w:t>PPP</w:t>
      </w:r>
      <w:r w:rsidRPr="00197AF3">
        <w:rPr>
          <w:rFonts w:ascii="Arial" w:hAnsi="Arial" w:cs="Arial"/>
          <w:color w:val="000000" w:themeColor="text1"/>
          <w:vertAlign w:val="subscript"/>
        </w:rPr>
        <w:t>t,x,j</w:t>
      </w:r>
      <w:r w:rsidRPr="00197AF3">
        <w:rPr>
          <w:rFonts w:ascii="Arial" w:hAnsi="Arial" w:cs="Arial"/>
          <w:color w:val="000000" w:themeColor="text1"/>
        </w:rPr>
        <w:t>: corresponde al promedio ponderado diario del costo de oportunidad o precio de paridad de exportación del ACPM de producción nacional y del costo promedio paridad importación del ACPM importado de acuerdo con la siguiente fórmula:</w:t>
      </w:r>
    </w:p>
    <w:p w:rsidR="00B23CBA" w:rsidRPr="00197AF3" w:rsidRDefault="00B23CBA" w:rsidP="00C31D20">
      <w:pPr>
        <w:pStyle w:val="unico"/>
        <w:spacing w:before="0" w:beforeAutospacing="0" w:after="0" w:afterAutospacing="0"/>
        <w:contextualSpacing/>
        <w:jc w:val="center"/>
        <w:rPr>
          <w:rFonts w:ascii="Arial" w:hAnsi="Arial" w:cs="Arial"/>
          <w:b/>
          <w:bCs/>
          <w:color w:val="000000" w:themeColor="text1"/>
        </w:rPr>
      </w:pPr>
    </w:p>
    <w:p w:rsidR="008230BC" w:rsidRPr="00C31D20" w:rsidRDefault="008230BC" w:rsidP="00C31D20">
      <w:pPr>
        <w:pStyle w:val="unico"/>
        <w:spacing w:before="0" w:beforeAutospacing="0" w:after="0" w:afterAutospacing="0"/>
        <w:contextualSpacing/>
        <w:jc w:val="center"/>
        <w:rPr>
          <w:rFonts w:ascii="Arial" w:hAnsi="Arial" w:cs="Arial"/>
          <w:bCs/>
          <w:color w:val="000000" w:themeColor="text1"/>
          <w:lang w:val="en-US"/>
        </w:rPr>
      </w:pPr>
      <w:r w:rsidRPr="00C31D20">
        <w:rPr>
          <w:rFonts w:ascii="Arial" w:hAnsi="Arial" w:cs="Arial"/>
          <w:bCs/>
          <w:color w:val="000000" w:themeColor="text1"/>
          <w:lang w:val="en-US"/>
        </w:rPr>
        <w:t>PPP</w:t>
      </w:r>
      <w:r w:rsidRPr="00C31D20">
        <w:rPr>
          <w:rFonts w:ascii="Arial" w:hAnsi="Arial" w:cs="Arial"/>
          <w:bCs/>
          <w:color w:val="000000" w:themeColor="text1"/>
          <w:vertAlign w:val="subscript"/>
          <w:lang w:val="en-US"/>
        </w:rPr>
        <w:t>t</w:t>
      </w:r>
      <w:proofErr w:type="gramStart"/>
      <w:r w:rsidRPr="00C31D20">
        <w:rPr>
          <w:rFonts w:ascii="Arial" w:hAnsi="Arial" w:cs="Arial"/>
          <w:bCs/>
          <w:color w:val="000000" w:themeColor="text1"/>
          <w:vertAlign w:val="subscript"/>
          <w:lang w:val="en-US"/>
        </w:rPr>
        <w:t>,x,j</w:t>
      </w:r>
      <w:proofErr w:type="gramEnd"/>
      <w:r w:rsidRPr="00C31D20">
        <w:rPr>
          <w:rFonts w:ascii="Arial" w:hAnsi="Arial" w:cs="Arial"/>
          <w:bCs/>
          <w:color w:val="000000" w:themeColor="text1"/>
          <w:lang w:val="en-US"/>
        </w:rPr>
        <w:t> = (%pronal</w:t>
      </w:r>
      <w:r w:rsidRPr="00C31D20">
        <w:rPr>
          <w:rFonts w:ascii="Arial" w:hAnsi="Arial" w:cs="Arial"/>
          <w:bCs/>
          <w:color w:val="000000" w:themeColor="text1"/>
          <w:vertAlign w:val="subscript"/>
          <w:lang w:val="en-US"/>
        </w:rPr>
        <w:t>j-1</w:t>
      </w:r>
      <w:r w:rsidRPr="00C31D20">
        <w:rPr>
          <w:rFonts w:ascii="Arial" w:hAnsi="Arial" w:cs="Arial"/>
          <w:bCs/>
          <w:color w:val="000000" w:themeColor="text1"/>
          <w:lang w:val="en-US"/>
        </w:rPr>
        <w:t> * PPEACPM</w:t>
      </w:r>
      <w:r w:rsidRPr="00C31D20">
        <w:rPr>
          <w:rFonts w:ascii="Arial" w:hAnsi="Arial" w:cs="Arial"/>
          <w:bCs/>
          <w:color w:val="000000" w:themeColor="text1"/>
          <w:vertAlign w:val="subscript"/>
          <w:lang w:val="en-US"/>
        </w:rPr>
        <w:t>t,x,j</w:t>
      </w:r>
      <w:r w:rsidRPr="00C31D20">
        <w:rPr>
          <w:rFonts w:ascii="Arial" w:hAnsi="Arial" w:cs="Arial"/>
          <w:bCs/>
          <w:color w:val="000000" w:themeColor="text1"/>
          <w:lang w:val="en-US"/>
        </w:rPr>
        <w:t>) + (%impo</w:t>
      </w:r>
      <w:r w:rsidRPr="00C31D20">
        <w:rPr>
          <w:rFonts w:ascii="Arial" w:hAnsi="Arial" w:cs="Arial"/>
          <w:bCs/>
          <w:color w:val="000000" w:themeColor="text1"/>
          <w:vertAlign w:val="subscript"/>
          <w:lang w:val="en-US"/>
        </w:rPr>
        <w:t>j-1</w:t>
      </w:r>
      <w:r w:rsidRPr="00C31D20">
        <w:rPr>
          <w:rFonts w:ascii="Arial" w:hAnsi="Arial" w:cs="Arial"/>
          <w:bCs/>
          <w:color w:val="000000" w:themeColor="text1"/>
          <w:lang w:val="en-US"/>
        </w:rPr>
        <w:t> * PPIMPO</w:t>
      </w:r>
      <w:r w:rsidRPr="00C31D20">
        <w:rPr>
          <w:rFonts w:ascii="Arial" w:hAnsi="Arial" w:cs="Arial"/>
          <w:bCs/>
          <w:color w:val="000000" w:themeColor="text1"/>
          <w:vertAlign w:val="subscript"/>
          <w:lang w:val="en-US"/>
        </w:rPr>
        <w:t>t,x,j</w:t>
      </w:r>
      <w:r w:rsidRPr="00C31D20">
        <w:rPr>
          <w:rFonts w:ascii="Arial" w:hAnsi="Arial" w:cs="Arial"/>
          <w:bCs/>
          <w:color w:val="000000" w:themeColor="text1"/>
          <w:lang w:val="en-US"/>
        </w:rPr>
        <w:t>)</w:t>
      </w:r>
    </w:p>
    <w:p w:rsidR="008230BC" w:rsidRPr="00197AF3" w:rsidRDefault="008230BC" w:rsidP="00C31D20">
      <w:pPr>
        <w:pStyle w:val="unico"/>
        <w:spacing w:before="180" w:beforeAutospacing="0" w:after="0" w:afterAutospacing="0"/>
        <w:contextualSpacing/>
        <w:jc w:val="both"/>
        <w:rPr>
          <w:rFonts w:ascii="Arial" w:hAnsi="Arial" w:cs="Arial"/>
          <w:color w:val="000000" w:themeColor="text1"/>
        </w:rPr>
      </w:pPr>
      <w:r w:rsidRPr="00197AF3">
        <w:rPr>
          <w:rFonts w:ascii="Arial" w:hAnsi="Arial" w:cs="Arial"/>
          <w:color w:val="000000" w:themeColor="text1"/>
        </w:rPr>
        <w:t>Donde:</w:t>
      </w:r>
    </w:p>
    <w:p w:rsidR="008230BC" w:rsidRPr="00197AF3" w:rsidRDefault="00B23CBA" w:rsidP="00C31D20">
      <w:pPr>
        <w:pStyle w:val="unico"/>
        <w:spacing w:before="180" w:beforeAutospacing="0" w:after="0" w:afterAutospacing="0"/>
        <w:contextualSpacing/>
        <w:jc w:val="both"/>
        <w:rPr>
          <w:rFonts w:ascii="Arial" w:hAnsi="Arial" w:cs="Arial"/>
          <w:color w:val="000000" w:themeColor="text1"/>
        </w:rPr>
      </w:pPr>
      <w:r w:rsidRPr="00197AF3">
        <w:rPr>
          <w:rFonts w:ascii="Arial" w:hAnsi="Arial" w:cs="Arial"/>
          <w:color w:val="000000" w:themeColor="text1"/>
        </w:rPr>
        <w:t>t:</w:t>
      </w:r>
      <w:r w:rsidR="008230BC" w:rsidRPr="00197AF3">
        <w:rPr>
          <w:rFonts w:ascii="Arial" w:hAnsi="Arial" w:cs="Arial"/>
          <w:color w:val="000000" w:themeColor="text1"/>
        </w:rPr>
        <w:t xml:space="preserve"> corresponde al tiempo medido en días</w:t>
      </w:r>
    </w:p>
    <w:p w:rsidR="008230BC" w:rsidRPr="00197AF3" w:rsidRDefault="008230BC" w:rsidP="00C31D20">
      <w:pPr>
        <w:pStyle w:val="unico"/>
        <w:spacing w:before="180" w:beforeAutospacing="0" w:after="0" w:afterAutospacing="0"/>
        <w:contextualSpacing/>
        <w:jc w:val="both"/>
        <w:rPr>
          <w:rFonts w:ascii="Arial" w:hAnsi="Arial" w:cs="Arial"/>
          <w:color w:val="000000" w:themeColor="text1"/>
        </w:rPr>
      </w:pPr>
      <w:r w:rsidRPr="00197AF3">
        <w:rPr>
          <w:rFonts w:ascii="Arial" w:hAnsi="Arial" w:cs="Arial"/>
          <w:color w:val="000000" w:themeColor="text1"/>
        </w:rPr>
        <w:t>x</w:t>
      </w:r>
      <w:r w:rsidR="00B23CBA" w:rsidRPr="00197AF3">
        <w:rPr>
          <w:rFonts w:ascii="Arial" w:hAnsi="Arial" w:cs="Arial"/>
          <w:color w:val="000000" w:themeColor="text1"/>
        </w:rPr>
        <w:t>:</w:t>
      </w:r>
      <w:r w:rsidRPr="00197AF3">
        <w:rPr>
          <w:rFonts w:ascii="Arial" w:hAnsi="Arial" w:cs="Arial"/>
          <w:color w:val="000000" w:themeColor="text1"/>
        </w:rPr>
        <w:t xml:space="preserve"> corresponde al mes en el cual se están haciendo los cálculos</w:t>
      </w:r>
    </w:p>
    <w:p w:rsidR="00B23CBA" w:rsidRPr="00197AF3" w:rsidRDefault="008230BC" w:rsidP="00C31D20">
      <w:pPr>
        <w:pStyle w:val="unico"/>
        <w:spacing w:before="180" w:beforeAutospacing="0" w:after="0" w:afterAutospacing="0"/>
        <w:contextualSpacing/>
        <w:jc w:val="both"/>
        <w:rPr>
          <w:rFonts w:ascii="Arial" w:hAnsi="Arial" w:cs="Arial"/>
          <w:color w:val="000000" w:themeColor="text1"/>
        </w:rPr>
      </w:pPr>
      <w:r w:rsidRPr="00197AF3">
        <w:rPr>
          <w:rFonts w:ascii="Arial" w:hAnsi="Arial" w:cs="Arial"/>
          <w:color w:val="000000" w:themeColor="text1"/>
        </w:rPr>
        <w:t>j</w:t>
      </w:r>
      <w:r w:rsidR="00B23CBA" w:rsidRPr="00197AF3">
        <w:rPr>
          <w:rFonts w:ascii="Arial" w:hAnsi="Arial" w:cs="Arial"/>
          <w:color w:val="000000" w:themeColor="text1"/>
        </w:rPr>
        <w:t>:</w:t>
      </w:r>
      <w:r w:rsidRPr="00197AF3">
        <w:rPr>
          <w:rFonts w:ascii="Arial" w:hAnsi="Arial" w:cs="Arial"/>
          <w:color w:val="000000" w:themeColor="text1"/>
        </w:rPr>
        <w:t xml:space="preserve"> corresponde al trimestre en el cual se están realizando los cambios</w:t>
      </w:r>
    </w:p>
    <w:p w:rsidR="00B23CBA" w:rsidRPr="00197AF3" w:rsidRDefault="00D530B6" w:rsidP="00C31D20">
      <w:pPr>
        <w:pStyle w:val="unico"/>
        <w:spacing w:before="180" w:beforeAutospacing="0" w:after="0" w:afterAutospacing="0"/>
        <w:contextualSpacing/>
        <w:jc w:val="both"/>
        <w:rPr>
          <w:rFonts w:ascii="Arial" w:hAnsi="Arial" w:cs="Arial"/>
          <w:color w:val="000000" w:themeColor="text1"/>
        </w:rPr>
      </w:pPr>
      <w:r w:rsidRPr="00197AF3">
        <w:rPr>
          <w:rFonts w:ascii="Arial" w:hAnsi="Arial" w:cs="Arial"/>
          <w:b/>
          <w:bCs/>
          <w:color w:val="000000" w:themeColor="text1"/>
        </w:rPr>
        <w:t>% IMPO</w:t>
      </w:r>
      <w:r w:rsidRPr="00197AF3">
        <w:rPr>
          <w:rFonts w:ascii="Arial" w:hAnsi="Arial" w:cs="Arial"/>
          <w:b/>
          <w:bCs/>
          <w:color w:val="000000" w:themeColor="text1"/>
          <w:vertAlign w:val="subscript"/>
        </w:rPr>
        <w:t>j</w:t>
      </w:r>
      <w:r w:rsidR="008230BC" w:rsidRPr="00197AF3">
        <w:rPr>
          <w:rFonts w:ascii="Arial" w:hAnsi="Arial" w:cs="Arial"/>
          <w:b/>
          <w:bCs/>
          <w:color w:val="000000" w:themeColor="text1"/>
          <w:vertAlign w:val="subscript"/>
        </w:rPr>
        <w:t>-1</w:t>
      </w:r>
      <w:r w:rsidR="008230BC" w:rsidRPr="00197AF3">
        <w:rPr>
          <w:rFonts w:ascii="Arial" w:hAnsi="Arial" w:cs="Arial"/>
          <w:b/>
          <w:bCs/>
          <w:color w:val="000000" w:themeColor="text1"/>
        </w:rPr>
        <w:t>:</w:t>
      </w:r>
      <w:r w:rsidR="008230BC" w:rsidRPr="00197AF3">
        <w:rPr>
          <w:rFonts w:ascii="Arial" w:hAnsi="Arial" w:cs="Arial"/>
          <w:color w:val="000000" w:themeColor="text1"/>
        </w:rPr>
        <w:t> Corresponde al porcentaje de ACPM importado para atender la demanda nacional reportado por Ecopetrol S.A. para el trimestre j-1.</w:t>
      </w:r>
      <w:r w:rsidR="00B23CBA" w:rsidRPr="00197AF3">
        <w:rPr>
          <w:rFonts w:ascii="Arial" w:hAnsi="Arial" w:cs="Arial"/>
          <w:color w:val="000000" w:themeColor="text1"/>
        </w:rPr>
        <w:t xml:space="preserve"> </w:t>
      </w:r>
    </w:p>
    <w:p w:rsidR="00B23CBA" w:rsidRDefault="008230BC" w:rsidP="00C31D20">
      <w:pPr>
        <w:pStyle w:val="unico"/>
        <w:spacing w:before="180" w:beforeAutospacing="0" w:after="0" w:afterAutospacing="0"/>
        <w:contextualSpacing/>
        <w:jc w:val="both"/>
        <w:rPr>
          <w:rFonts w:ascii="Arial" w:hAnsi="Arial" w:cs="Arial"/>
          <w:color w:val="000000" w:themeColor="text1"/>
        </w:rPr>
      </w:pPr>
      <w:r w:rsidRPr="00197AF3">
        <w:rPr>
          <w:rFonts w:ascii="Arial" w:hAnsi="Arial" w:cs="Arial"/>
          <w:b/>
          <w:bCs/>
          <w:color w:val="000000" w:themeColor="text1"/>
        </w:rPr>
        <w:t>% </w:t>
      </w:r>
      <w:r w:rsidR="00D530B6" w:rsidRPr="00197AF3">
        <w:rPr>
          <w:rFonts w:ascii="Arial" w:hAnsi="Arial" w:cs="Arial"/>
          <w:b/>
          <w:bCs/>
          <w:color w:val="000000" w:themeColor="text1"/>
        </w:rPr>
        <w:t>PRONAL</w:t>
      </w:r>
      <w:r w:rsidRPr="00197AF3">
        <w:rPr>
          <w:rFonts w:ascii="Arial" w:hAnsi="Arial" w:cs="Arial"/>
          <w:b/>
          <w:bCs/>
          <w:color w:val="000000" w:themeColor="text1"/>
          <w:vertAlign w:val="subscript"/>
        </w:rPr>
        <w:t>j-1</w:t>
      </w:r>
      <w:r w:rsidRPr="00197AF3">
        <w:rPr>
          <w:rFonts w:ascii="Arial" w:hAnsi="Arial" w:cs="Arial"/>
          <w:b/>
          <w:bCs/>
          <w:color w:val="000000" w:themeColor="text1"/>
        </w:rPr>
        <w:t>:</w:t>
      </w:r>
      <w:r w:rsidRPr="00197AF3">
        <w:rPr>
          <w:rFonts w:ascii="Arial" w:hAnsi="Arial" w:cs="Arial"/>
          <w:color w:val="000000" w:themeColor="text1"/>
        </w:rPr>
        <w:t> Corresponde al porcentaje de ACPM de producción nacional utilizado para atender la demanda nacional reportado por Ecopetrol S.A. para el trimestre j-1.</w:t>
      </w:r>
      <w:r w:rsidR="00B23CBA" w:rsidRPr="00197AF3">
        <w:rPr>
          <w:rFonts w:ascii="Arial" w:hAnsi="Arial" w:cs="Arial"/>
          <w:color w:val="000000" w:themeColor="text1"/>
        </w:rPr>
        <w:t xml:space="preserve"> </w:t>
      </w:r>
    </w:p>
    <w:p w:rsidR="00F90048" w:rsidRPr="00197AF3" w:rsidRDefault="00F90048" w:rsidP="00C31D20">
      <w:pPr>
        <w:pStyle w:val="unico"/>
        <w:spacing w:before="180" w:beforeAutospacing="0" w:after="0" w:afterAutospacing="0"/>
        <w:contextualSpacing/>
        <w:jc w:val="both"/>
        <w:rPr>
          <w:rFonts w:ascii="Arial" w:hAnsi="Arial" w:cs="Arial"/>
          <w:color w:val="000000" w:themeColor="text1"/>
        </w:rPr>
      </w:pPr>
    </w:p>
    <w:p w:rsidR="008230BC" w:rsidRDefault="00F039AD" w:rsidP="00C31D20">
      <w:pPr>
        <w:pStyle w:val="unico"/>
        <w:spacing w:before="180" w:beforeAutospacing="0" w:after="0" w:afterAutospacing="0"/>
        <w:contextualSpacing/>
        <w:jc w:val="both"/>
        <w:rPr>
          <w:rFonts w:ascii="Arial" w:hAnsi="Arial" w:cs="Arial"/>
          <w:color w:val="000000" w:themeColor="text1"/>
        </w:rPr>
      </w:pPr>
      <w:r>
        <w:rPr>
          <w:rFonts w:ascii="Arial" w:hAnsi="Arial" w:cs="Arial"/>
          <w:b/>
          <w:bCs/>
          <w:color w:val="000000" w:themeColor="text1"/>
        </w:rPr>
        <w:t>P</w:t>
      </w:r>
      <w:r w:rsidRPr="00197AF3">
        <w:rPr>
          <w:rFonts w:ascii="Arial" w:hAnsi="Arial" w:cs="Arial"/>
          <w:b/>
          <w:bCs/>
          <w:color w:val="000000" w:themeColor="text1"/>
        </w:rPr>
        <w:t>aridad exportación del</w:t>
      </w:r>
      <w:r w:rsidR="00D530B6" w:rsidRPr="00197AF3">
        <w:rPr>
          <w:rFonts w:ascii="Arial" w:hAnsi="Arial" w:cs="Arial"/>
          <w:b/>
          <w:bCs/>
          <w:color w:val="000000" w:themeColor="text1"/>
        </w:rPr>
        <w:t xml:space="preserve"> ACPM </w:t>
      </w:r>
      <w:r>
        <w:rPr>
          <w:rFonts w:ascii="Arial" w:hAnsi="Arial" w:cs="Arial"/>
          <w:b/>
          <w:bCs/>
          <w:color w:val="000000" w:themeColor="text1"/>
        </w:rPr>
        <w:t>d</w:t>
      </w:r>
      <w:r w:rsidRPr="00197AF3">
        <w:rPr>
          <w:rFonts w:ascii="Arial" w:hAnsi="Arial" w:cs="Arial"/>
          <w:b/>
          <w:bCs/>
          <w:color w:val="000000" w:themeColor="text1"/>
        </w:rPr>
        <w:t xml:space="preserve">e Producción Nacional </w:t>
      </w:r>
      <w:r w:rsidR="00D530B6" w:rsidRPr="00197AF3">
        <w:rPr>
          <w:rFonts w:ascii="Arial" w:hAnsi="Arial" w:cs="Arial"/>
          <w:b/>
          <w:bCs/>
          <w:color w:val="000000" w:themeColor="text1"/>
        </w:rPr>
        <w:t>- PPEACPM</w:t>
      </w:r>
      <w:r w:rsidR="00D530B6" w:rsidRPr="00197AF3">
        <w:rPr>
          <w:rFonts w:ascii="Arial" w:hAnsi="Arial" w:cs="Arial"/>
          <w:b/>
          <w:bCs/>
          <w:color w:val="000000" w:themeColor="text1"/>
          <w:vertAlign w:val="subscript"/>
        </w:rPr>
        <w:t>t</w:t>
      </w:r>
      <w:r w:rsidR="00D530B6" w:rsidRPr="00197AF3">
        <w:rPr>
          <w:rFonts w:ascii="Arial" w:hAnsi="Arial" w:cs="Arial"/>
          <w:b/>
          <w:bCs/>
          <w:color w:val="000000" w:themeColor="text1"/>
        </w:rPr>
        <w:t>:</w:t>
      </w:r>
      <w:r w:rsidR="008230BC" w:rsidRPr="00197AF3">
        <w:rPr>
          <w:rFonts w:ascii="Arial" w:hAnsi="Arial" w:cs="Arial"/>
          <w:color w:val="000000" w:themeColor="text1"/>
        </w:rPr>
        <w:t> Corresponde al precio paridad exportación, referenciado al mercado del Golfo de los Estados Unidos de América, de cada observación diaria del ACPM para uso en motores diésel producido en Colombia y se calculará como el promedio ponderado de los índices: Diésel 2, ULSD (ultra low sulfur diésel), y LSD (low sulfur diésel) de la costa del Golfo de los Estados Unidos de América, con base en los volúmenes de las corrientes de diferentes calidades utilizadas por todos los refinadores para la producción de diésel en la calidad exigida por la regulación, mediante la siguiente ecuación:</w:t>
      </w:r>
      <w:r w:rsidR="00B23CBA" w:rsidRPr="00197AF3">
        <w:rPr>
          <w:rFonts w:ascii="Arial" w:hAnsi="Arial" w:cs="Arial"/>
          <w:color w:val="000000" w:themeColor="text1"/>
        </w:rPr>
        <w:t xml:space="preserve"> </w:t>
      </w:r>
    </w:p>
    <w:p w:rsidR="00C31D20" w:rsidRPr="00197AF3" w:rsidRDefault="00C31D20" w:rsidP="00C31D20">
      <w:pPr>
        <w:pStyle w:val="unico"/>
        <w:spacing w:before="180" w:beforeAutospacing="0" w:after="0" w:afterAutospacing="0"/>
        <w:contextualSpacing/>
        <w:jc w:val="both"/>
        <w:rPr>
          <w:rFonts w:ascii="Arial" w:hAnsi="Arial" w:cs="Arial"/>
          <w:color w:val="000000" w:themeColor="text1"/>
        </w:rPr>
      </w:pPr>
    </w:p>
    <w:p w:rsidR="008230BC" w:rsidRPr="00197AF3" w:rsidRDefault="00B23CBA" w:rsidP="00C31D20">
      <w:pPr>
        <w:contextualSpacing/>
        <w:jc w:val="both"/>
        <w:rPr>
          <w:rFonts w:ascii="Arial" w:hAnsi="Arial" w:cs="Arial"/>
          <w:color w:val="000000" w:themeColor="text1"/>
        </w:rPr>
      </w:pPr>
      <w:r w:rsidRPr="00197AF3">
        <w:rPr>
          <w:rFonts w:ascii="Arial" w:hAnsi="Arial" w:cs="Arial"/>
          <w:color w:val="000000" w:themeColor="text1"/>
        </w:rPr>
        <w:lastRenderedPageBreak/>
        <w:fldChar w:fldCharType="begin"/>
      </w:r>
      <w:r w:rsidRPr="00197AF3">
        <w:rPr>
          <w:rFonts w:ascii="Arial" w:hAnsi="Arial" w:cs="Arial"/>
          <w:color w:val="000000" w:themeColor="text1"/>
        </w:rPr>
        <w:instrText xml:space="preserve"> INCLUDEPICTURE "http://static.legal.legis.com.co/58e862f9670d4da8967c5a29f3b187bd.JPG" \* MERGEFORMATINET </w:instrText>
      </w:r>
      <w:r w:rsidRPr="00197AF3">
        <w:rPr>
          <w:rFonts w:ascii="Arial" w:hAnsi="Arial" w:cs="Arial"/>
          <w:color w:val="000000" w:themeColor="text1"/>
        </w:rPr>
        <w:fldChar w:fldCharType="separate"/>
      </w:r>
      <w:r w:rsidRPr="00197AF3">
        <w:rPr>
          <w:rFonts w:ascii="Arial" w:hAnsi="Arial" w:cs="Arial"/>
          <w:noProof/>
          <w:color w:val="000000" w:themeColor="text1"/>
          <w:lang w:eastAsia="es-CO"/>
        </w:rPr>
        <w:drawing>
          <wp:inline distT="0" distB="0" distL="0" distR="0" wp14:anchorId="1440EBDC" wp14:editId="19A5212E">
            <wp:extent cx="5612130" cy="587375"/>
            <wp:effectExtent l="0" t="0" r="1270" b="0"/>
            <wp:docPr id="23" name="Imagen 23" descr="R181491MM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R181491MME(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587375"/>
                    </a:xfrm>
                    <a:prstGeom prst="rect">
                      <a:avLst/>
                    </a:prstGeom>
                    <a:noFill/>
                    <a:ln>
                      <a:noFill/>
                    </a:ln>
                  </pic:spPr>
                </pic:pic>
              </a:graphicData>
            </a:graphic>
          </wp:inline>
        </w:drawing>
      </w:r>
      <w:r w:rsidRPr="00197AF3">
        <w:rPr>
          <w:rFonts w:ascii="Arial" w:hAnsi="Arial" w:cs="Arial"/>
          <w:color w:val="000000" w:themeColor="text1"/>
        </w:rPr>
        <w:fldChar w:fldCharType="end"/>
      </w:r>
    </w:p>
    <w:p w:rsidR="00F039AD" w:rsidRDefault="00F039AD" w:rsidP="00C31D20">
      <w:pPr>
        <w:pStyle w:val="unico"/>
        <w:spacing w:before="180" w:beforeAutospacing="0" w:after="0" w:afterAutospacing="0"/>
        <w:contextualSpacing/>
        <w:jc w:val="both"/>
        <w:rPr>
          <w:rFonts w:ascii="Arial" w:hAnsi="Arial" w:cs="Arial"/>
          <w:b/>
          <w:bCs/>
          <w:color w:val="000000" w:themeColor="text1"/>
        </w:rPr>
      </w:pPr>
      <w:r w:rsidRPr="00197AF3">
        <w:rPr>
          <w:rFonts w:ascii="Arial" w:hAnsi="Arial" w:cs="Arial"/>
          <w:color w:val="000000" w:themeColor="text1"/>
        </w:rPr>
        <w:t>Dónde</w:t>
      </w:r>
      <w:r w:rsidR="008230BC" w:rsidRPr="00197AF3">
        <w:rPr>
          <w:rFonts w:ascii="Arial" w:hAnsi="Arial" w:cs="Arial"/>
          <w:color w:val="000000" w:themeColor="text1"/>
        </w:rPr>
        <w:t>:</w:t>
      </w:r>
    </w:p>
    <w:p w:rsidR="00B23CBA" w:rsidRPr="00197AF3" w:rsidRDefault="008230BC" w:rsidP="00C31D20">
      <w:pPr>
        <w:pStyle w:val="Ttulo2"/>
        <w:spacing w:before="0"/>
        <w:contextualSpacing/>
        <w:jc w:val="both"/>
        <w:rPr>
          <w:rFonts w:ascii="Arial" w:hAnsi="Arial" w:cs="Arial"/>
          <w:color w:val="000000" w:themeColor="text1"/>
          <w:sz w:val="24"/>
          <w:szCs w:val="24"/>
        </w:rPr>
      </w:pPr>
      <w:r w:rsidRPr="00197AF3">
        <w:rPr>
          <w:rFonts w:ascii="Arial" w:hAnsi="Arial" w:cs="Arial"/>
          <w:b/>
          <w:bCs/>
          <w:color w:val="000000" w:themeColor="text1"/>
          <w:sz w:val="24"/>
          <w:szCs w:val="24"/>
        </w:rPr>
        <w:t>VLSD</w:t>
      </w:r>
      <w:r w:rsidRPr="00197AF3">
        <w:rPr>
          <w:rFonts w:ascii="Arial" w:hAnsi="Arial" w:cs="Arial"/>
          <w:b/>
          <w:bCs/>
          <w:color w:val="000000" w:themeColor="text1"/>
          <w:sz w:val="24"/>
          <w:szCs w:val="24"/>
          <w:vertAlign w:val="subscript"/>
        </w:rPr>
        <w:t>j-1</w:t>
      </w:r>
      <w:r w:rsidRPr="00197AF3">
        <w:rPr>
          <w:rFonts w:ascii="Arial" w:hAnsi="Arial" w:cs="Arial"/>
          <w:b/>
          <w:bCs/>
          <w:color w:val="000000" w:themeColor="text1"/>
          <w:sz w:val="24"/>
          <w:szCs w:val="24"/>
        </w:rPr>
        <w:t>:</w:t>
      </w:r>
      <w:r w:rsidRPr="00197AF3">
        <w:rPr>
          <w:rFonts w:ascii="Arial" w:hAnsi="Arial" w:cs="Arial"/>
          <w:color w:val="000000" w:themeColor="text1"/>
          <w:sz w:val="24"/>
          <w:szCs w:val="24"/>
        </w:rPr>
        <w:t> Volumen total de la corriente de ACPM cuyo contenido de azufre sea mayor a 50 ppm y menor a 500 ppm, utilizado en la producción del diésel vendido en el trimestre j-1.</w:t>
      </w:r>
      <w:r w:rsidR="00F06A1C" w:rsidRPr="00197AF3">
        <w:rPr>
          <w:rFonts w:ascii="Arial" w:hAnsi="Arial" w:cs="Arial"/>
          <w:color w:val="000000" w:themeColor="text1"/>
          <w:sz w:val="24"/>
          <w:szCs w:val="24"/>
        </w:rPr>
        <w:t xml:space="preserve"> </w:t>
      </w:r>
    </w:p>
    <w:p w:rsidR="008230BC" w:rsidRPr="00197AF3" w:rsidRDefault="008230BC" w:rsidP="00C31D20">
      <w:pPr>
        <w:pStyle w:val="Ttulo2"/>
        <w:spacing w:before="0"/>
        <w:contextualSpacing/>
        <w:jc w:val="both"/>
        <w:rPr>
          <w:rFonts w:ascii="Arial" w:hAnsi="Arial" w:cs="Arial"/>
          <w:color w:val="000000" w:themeColor="text1"/>
          <w:sz w:val="24"/>
          <w:szCs w:val="24"/>
        </w:rPr>
      </w:pPr>
      <w:r w:rsidRPr="00197AF3">
        <w:rPr>
          <w:rFonts w:ascii="Arial" w:hAnsi="Arial" w:cs="Arial"/>
          <w:b/>
          <w:bCs/>
          <w:color w:val="000000" w:themeColor="text1"/>
          <w:sz w:val="24"/>
          <w:szCs w:val="24"/>
        </w:rPr>
        <w:t>PLSD</w:t>
      </w:r>
      <w:r w:rsidRPr="00197AF3">
        <w:rPr>
          <w:rFonts w:ascii="Arial" w:hAnsi="Arial" w:cs="Arial"/>
          <w:b/>
          <w:bCs/>
          <w:color w:val="000000" w:themeColor="text1"/>
          <w:sz w:val="24"/>
          <w:szCs w:val="24"/>
          <w:vertAlign w:val="subscript"/>
        </w:rPr>
        <w:t>t,x</w:t>
      </w:r>
      <w:r w:rsidRPr="00197AF3">
        <w:rPr>
          <w:rFonts w:ascii="Arial" w:hAnsi="Arial" w:cs="Arial"/>
          <w:b/>
          <w:bCs/>
          <w:color w:val="000000" w:themeColor="text1"/>
          <w:sz w:val="24"/>
          <w:szCs w:val="24"/>
        </w:rPr>
        <w:t>:</w:t>
      </w:r>
      <w:r w:rsidRPr="00197AF3">
        <w:rPr>
          <w:rFonts w:ascii="Arial" w:hAnsi="Arial" w:cs="Arial"/>
          <w:color w:val="000000" w:themeColor="text1"/>
          <w:sz w:val="24"/>
          <w:szCs w:val="24"/>
        </w:rPr>
        <w:t> Corresponde a la cotización del índice LSD (low sulfur diésel) gulf coast waterborne de la publicación PLATT de Standard &amp; Poor expresado en dólares por galón (US$/Gal), en el día t, para el mes x.</w:t>
      </w:r>
    </w:p>
    <w:p w:rsidR="008230BC" w:rsidRPr="00197AF3" w:rsidRDefault="008230BC" w:rsidP="00C31D20">
      <w:pPr>
        <w:pStyle w:val="Ttulo2"/>
        <w:spacing w:before="0"/>
        <w:contextualSpacing/>
        <w:jc w:val="both"/>
        <w:rPr>
          <w:rFonts w:ascii="Arial" w:hAnsi="Arial" w:cs="Arial"/>
          <w:color w:val="000000" w:themeColor="text1"/>
          <w:sz w:val="24"/>
          <w:szCs w:val="24"/>
        </w:rPr>
      </w:pPr>
      <w:r w:rsidRPr="00197AF3">
        <w:rPr>
          <w:rFonts w:ascii="Arial" w:hAnsi="Arial" w:cs="Arial"/>
          <w:b/>
          <w:bCs/>
          <w:color w:val="000000" w:themeColor="text1"/>
          <w:sz w:val="24"/>
          <w:szCs w:val="24"/>
        </w:rPr>
        <w:t>VHSD</w:t>
      </w:r>
      <w:r w:rsidRPr="00197AF3">
        <w:rPr>
          <w:rFonts w:ascii="Arial" w:hAnsi="Arial" w:cs="Arial"/>
          <w:b/>
          <w:bCs/>
          <w:color w:val="000000" w:themeColor="text1"/>
          <w:sz w:val="24"/>
          <w:szCs w:val="24"/>
          <w:vertAlign w:val="subscript"/>
        </w:rPr>
        <w:t>j-1</w:t>
      </w:r>
      <w:r w:rsidRPr="00197AF3">
        <w:rPr>
          <w:rFonts w:ascii="Arial" w:hAnsi="Arial" w:cs="Arial"/>
          <w:b/>
          <w:bCs/>
          <w:color w:val="000000" w:themeColor="text1"/>
          <w:sz w:val="24"/>
          <w:szCs w:val="24"/>
        </w:rPr>
        <w:t>:</w:t>
      </w:r>
      <w:r w:rsidRPr="00197AF3">
        <w:rPr>
          <w:rFonts w:ascii="Arial" w:hAnsi="Arial" w:cs="Arial"/>
          <w:color w:val="000000" w:themeColor="text1"/>
          <w:sz w:val="24"/>
          <w:szCs w:val="24"/>
        </w:rPr>
        <w:t> Volumen total de ACPM cuyo contenido de azufre sea mayor o igual a 500 partes por millón utilizado en la producción del diésel vendido en el trimestre j 1.</w:t>
      </w:r>
    </w:p>
    <w:p w:rsidR="008230BC" w:rsidRPr="00197AF3" w:rsidRDefault="008230BC" w:rsidP="00C31D20">
      <w:pPr>
        <w:pStyle w:val="Ttulo2"/>
        <w:spacing w:before="0"/>
        <w:contextualSpacing/>
        <w:jc w:val="both"/>
        <w:rPr>
          <w:rFonts w:ascii="Arial" w:hAnsi="Arial" w:cs="Arial"/>
          <w:color w:val="000000" w:themeColor="text1"/>
          <w:sz w:val="24"/>
          <w:szCs w:val="24"/>
        </w:rPr>
      </w:pPr>
      <w:proofErr w:type="spellStart"/>
      <w:r w:rsidRPr="00197AF3">
        <w:rPr>
          <w:rFonts w:ascii="Arial" w:hAnsi="Arial" w:cs="Arial"/>
          <w:b/>
          <w:bCs/>
          <w:color w:val="000000" w:themeColor="text1"/>
          <w:sz w:val="24"/>
          <w:szCs w:val="24"/>
        </w:rPr>
        <w:t>PHSD</w:t>
      </w:r>
      <w:r w:rsidRPr="00197AF3">
        <w:rPr>
          <w:rFonts w:ascii="Arial" w:hAnsi="Arial" w:cs="Arial"/>
          <w:b/>
          <w:bCs/>
          <w:color w:val="000000" w:themeColor="text1"/>
          <w:sz w:val="24"/>
          <w:szCs w:val="24"/>
          <w:vertAlign w:val="subscript"/>
        </w:rPr>
        <w:t>t</w:t>
      </w:r>
      <w:proofErr w:type="gramStart"/>
      <w:r w:rsidRPr="00197AF3">
        <w:rPr>
          <w:rFonts w:ascii="Arial" w:hAnsi="Arial" w:cs="Arial"/>
          <w:b/>
          <w:bCs/>
          <w:color w:val="000000" w:themeColor="text1"/>
          <w:sz w:val="24"/>
          <w:szCs w:val="24"/>
          <w:vertAlign w:val="subscript"/>
        </w:rPr>
        <w:t>,x</w:t>
      </w:r>
      <w:proofErr w:type="spellEnd"/>
      <w:proofErr w:type="gramEnd"/>
      <w:r w:rsidRPr="00197AF3">
        <w:rPr>
          <w:rFonts w:ascii="Arial" w:hAnsi="Arial" w:cs="Arial"/>
          <w:b/>
          <w:bCs/>
          <w:color w:val="000000" w:themeColor="text1"/>
          <w:sz w:val="24"/>
          <w:szCs w:val="24"/>
        </w:rPr>
        <w:t>:</w:t>
      </w:r>
      <w:r w:rsidRPr="00197AF3">
        <w:rPr>
          <w:rFonts w:ascii="Arial" w:hAnsi="Arial" w:cs="Arial"/>
          <w:color w:val="000000" w:themeColor="text1"/>
          <w:sz w:val="24"/>
          <w:szCs w:val="24"/>
        </w:rPr>
        <w:t> Corresponde a la cotización del índice número 2 U.S. Gulf Coast Waterborne de la publicación PLATT’s de Standard &amp; Poor’s expresado en dólares por galón (US$/Gal), en el día t, para el mes x.</w:t>
      </w:r>
    </w:p>
    <w:p w:rsidR="00B23CBA" w:rsidRPr="00197AF3" w:rsidRDefault="00B23CBA" w:rsidP="00C31D20">
      <w:pPr>
        <w:contextualSpacing/>
        <w:jc w:val="both"/>
        <w:rPr>
          <w:rFonts w:ascii="Arial" w:hAnsi="Arial" w:cs="Arial"/>
          <w:color w:val="000000" w:themeColor="text1"/>
        </w:rPr>
      </w:pPr>
    </w:p>
    <w:p w:rsidR="008230BC" w:rsidRPr="00197AF3" w:rsidRDefault="008230BC" w:rsidP="00C31D20">
      <w:pPr>
        <w:pStyle w:val="Ttulo2"/>
        <w:spacing w:before="0"/>
        <w:contextualSpacing/>
        <w:jc w:val="both"/>
        <w:rPr>
          <w:rFonts w:ascii="Arial" w:hAnsi="Arial" w:cs="Arial"/>
          <w:color w:val="000000" w:themeColor="text1"/>
          <w:sz w:val="24"/>
          <w:szCs w:val="24"/>
        </w:rPr>
      </w:pPr>
      <w:r w:rsidRPr="00197AF3">
        <w:rPr>
          <w:rFonts w:ascii="Arial" w:hAnsi="Arial" w:cs="Arial"/>
          <w:b/>
          <w:bCs/>
          <w:color w:val="000000" w:themeColor="text1"/>
          <w:sz w:val="24"/>
          <w:szCs w:val="24"/>
        </w:rPr>
        <w:t>VULSD</w:t>
      </w:r>
      <w:r w:rsidRPr="00197AF3">
        <w:rPr>
          <w:rFonts w:ascii="Arial" w:hAnsi="Arial" w:cs="Arial"/>
          <w:b/>
          <w:bCs/>
          <w:color w:val="000000" w:themeColor="text1"/>
          <w:sz w:val="24"/>
          <w:szCs w:val="24"/>
          <w:vertAlign w:val="subscript"/>
        </w:rPr>
        <w:t>j-1</w:t>
      </w:r>
      <w:r w:rsidRPr="00197AF3">
        <w:rPr>
          <w:rFonts w:ascii="Arial" w:hAnsi="Arial" w:cs="Arial"/>
          <w:b/>
          <w:bCs/>
          <w:color w:val="000000" w:themeColor="text1"/>
          <w:sz w:val="24"/>
          <w:szCs w:val="24"/>
        </w:rPr>
        <w:t>:</w:t>
      </w:r>
      <w:r w:rsidRPr="00197AF3">
        <w:rPr>
          <w:rFonts w:ascii="Arial" w:hAnsi="Arial" w:cs="Arial"/>
          <w:color w:val="000000" w:themeColor="text1"/>
          <w:sz w:val="24"/>
          <w:szCs w:val="24"/>
        </w:rPr>
        <w:t> Volumen total de ACPM cuyo contenido de azufre sea menor o igual a 50 partes por millón utilizado en la producción del diésel vendido en el día t para el trimestre j-1.</w:t>
      </w:r>
    </w:p>
    <w:p w:rsidR="008230BC" w:rsidRPr="00197AF3" w:rsidRDefault="008230BC" w:rsidP="00C31D20">
      <w:pPr>
        <w:pStyle w:val="Ttulo2"/>
        <w:spacing w:before="0"/>
        <w:contextualSpacing/>
        <w:jc w:val="both"/>
        <w:rPr>
          <w:rFonts w:ascii="Arial" w:hAnsi="Arial" w:cs="Arial"/>
          <w:color w:val="000000" w:themeColor="text1"/>
          <w:sz w:val="24"/>
          <w:szCs w:val="24"/>
        </w:rPr>
      </w:pPr>
      <w:r w:rsidRPr="00197AF3">
        <w:rPr>
          <w:rFonts w:ascii="Arial" w:hAnsi="Arial" w:cs="Arial"/>
          <w:b/>
          <w:bCs/>
          <w:color w:val="000000" w:themeColor="text1"/>
          <w:sz w:val="24"/>
          <w:szCs w:val="24"/>
        </w:rPr>
        <w:t>PULSD</w:t>
      </w:r>
      <w:r w:rsidRPr="00197AF3">
        <w:rPr>
          <w:rFonts w:ascii="Arial" w:hAnsi="Arial" w:cs="Arial"/>
          <w:b/>
          <w:bCs/>
          <w:color w:val="000000" w:themeColor="text1"/>
          <w:sz w:val="24"/>
          <w:szCs w:val="24"/>
          <w:vertAlign w:val="subscript"/>
        </w:rPr>
        <w:t>t,x</w:t>
      </w:r>
      <w:r w:rsidRPr="00197AF3">
        <w:rPr>
          <w:rFonts w:ascii="Arial" w:hAnsi="Arial" w:cs="Arial"/>
          <w:b/>
          <w:bCs/>
          <w:color w:val="000000" w:themeColor="text1"/>
          <w:sz w:val="24"/>
          <w:szCs w:val="24"/>
        </w:rPr>
        <w:t>:</w:t>
      </w:r>
      <w:r w:rsidRPr="00197AF3">
        <w:rPr>
          <w:rFonts w:ascii="Arial" w:hAnsi="Arial" w:cs="Arial"/>
          <w:color w:val="000000" w:themeColor="text1"/>
          <w:sz w:val="24"/>
          <w:szCs w:val="24"/>
        </w:rPr>
        <w:t> Corresponde a la cotización del índice ULSD (ultra low sulfur diésel) U.S. Gulf Coast Waterborne de la publicación PLATTs de Standard &amp; Poor’s expresado en dólares por galán (US$IGal), en el día t, para el mes x.</w:t>
      </w:r>
    </w:p>
    <w:p w:rsidR="00B23CBA" w:rsidRPr="00F039AD" w:rsidRDefault="008230BC" w:rsidP="00C31D20">
      <w:pPr>
        <w:pStyle w:val="Ttulo2"/>
        <w:spacing w:before="0"/>
        <w:contextualSpacing/>
        <w:jc w:val="both"/>
        <w:rPr>
          <w:rFonts w:ascii="Arial" w:hAnsi="Arial" w:cs="Arial"/>
          <w:color w:val="000000" w:themeColor="text1"/>
          <w:sz w:val="24"/>
          <w:szCs w:val="24"/>
        </w:rPr>
      </w:pPr>
      <w:r w:rsidRPr="00197AF3">
        <w:rPr>
          <w:rFonts w:ascii="Arial" w:hAnsi="Arial" w:cs="Arial"/>
          <w:b/>
          <w:bCs/>
          <w:color w:val="000000" w:themeColor="text1"/>
          <w:sz w:val="24"/>
          <w:szCs w:val="24"/>
        </w:rPr>
        <w:t>VT</w:t>
      </w:r>
      <w:r w:rsidRPr="00197AF3">
        <w:rPr>
          <w:rFonts w:ascii="Arial" w:hAnsi="Arial" w:cs="Arial"/>
          <w:b/>
          <w:bCs/>
          <w:color w:val="000000" w:themeColor="text1"/>
          <w:sz w:val="24"/>
          <w:szCs w:val="24"/>
          <w:vertAlign w:val="subscript"/>
        </w:rPr>
        <w:t>j-1</w:t>
      </w:r>
      <w:r w:rsidRPr="00197AF3">
        <w:rPr>
          <w:rFonts w:ascii="Arial" w:hAnsi="Arial" w:cs="Arial"/>
          <w:b/>
          <w:bCs/>
          <w:color w:val="000000" w:themeColor="text1"/>
          <w:sz w:val="24"/>
          <w:szCs w:val="24"/>
        </w:rPr>
        <w:t>: </w:t>
      </w:r>
      <w:r w:rsidRPr="00197AF3">
        <w:rPr>
          <w:rFonts w:ascii="Arial" w:hAnsi="Arial" w:cs="Arial"/>
          <w:color w:val="000000" w:themeColor="text1"/>
          <w:sz w:val="24"/>
          <w:szCs w:val="24"/>
        </w:rPr>
        <w:t xml:space="preserve">Volumen total vendido de diésel en el trimestre j-1 </w:t>
      </w:r>
      <w:r w:rsidR="00F039AD">
        <w:rPr>
          <w:rFonts w:ascii="Arial" w:hAnsi="Arial" w:cs="Arial"/>
          <w:color w:val="000000" w:themeColor="text1"/>
          <w:sz w:val="24"/>
          <w:szCs w:val="24"/>
        </w:rPr>
        <w:t>en todo el territorio nacional.</w:t>
      </w:r>
    </w:p>
    <w:p w:rsidR="008230BC" w:rsidRPr="00197AF3" w:rsidRDefault="008230BC" w:rsidP="00C31D20">
      <w:pPr>
        <w:pStyle w:val="Ttulo2"/>
        <w:spacing w:before="0"/>
        <w:contextualSpacing/>
        <w:jc w:val="both"/>
        <w:rPr>
          <w:rFonts w:ascii="Arial" w:hAnsi="Arial" w:cs="Arial"/>
          <w:color w:val="000000" w:themeColor="text1"/>
          <w:sz w:val="24"/>
          <w:szCs w:val="24"/>
        </w:rPr>
      </w:pPr>
      <w:r w:rsidRPr="00197AF3">
        <w:rPr>
          <w:rFonts w:ascii="Arial" w:hAnsi="Arial" w:cs="Arial"/>
          <w:b/>
          <w:bCs/>
          <w:color w:val="000000" w:themeColor="text1"/>
          <w:sz w:val="24"/>
          <w:szCs w:val="24"/>
        </w:rPr>
        <w:t>CT</w:t>
      </w:r>
      <w:r w:rsidRPr="00197AF3">
        <w:rPr>
          <w:rFonts w:ascii="Arial" w:hAnsi="Arial" w:cs="Arial"/>
          <w:b/>
          <w:bCs/>
          <w:color w:val="000000" w:themeColor="text1"/>
          <w:sz w:val="24"/>
          <w:szCs w:val="24"/>
          <w:vertAlign w:val="subscript"/>
        </w:rPr>
        <w:t>t,x</w:t>
      </w:r>
      <w:r w:rsidRPr="00197AF3">
        <w:rPr>
          <w:rFonts w:ascii="Arial" w:hAnsi="Arial" w:cs="Arial"/>
          <w:b/>
          <w:bCs/>
          <w:color w:val="000000" w:themeColor="text1"/>
          <w:sz w:val="24"/>
          <w:szCs w:val="24"/>
        </w:rPr>
        <w:t>:</w:t>
      </w:r>
      <w:r w:rsidRPr="00197AF3">
        <w:rPr>
          <w:rFonts w:ascii="Arial" w:hAnsi="Arial" w:cs="Arial"/>
          <w:color w:val="000000" w:themeColor="text1"/>
          <w:sz w:val="24"/>
          <w:szCs w:val="24"/>
        </w:rPr>
        <w:t> Corresponde, al costo de los fletes por poliducto o terrestres para transportar un galán de ACPM desde la refinería hasta el puerto de exportación local, de acuerdo con las tarifas reguladas sobre el particular por el Ministerio de Minas y Energía</w:t>
      </w:r>
      <w:r w:rsidR="00F039AD">
        <w:rPr>
          <w:rFonts w:ascii="Arial" w:hAnsi="Arial" w:cs="Arial"/>
          <w:color w:val="000000" w:themeColor="text1"/>
          <w:sz w:val="24"/>
          <w:szCs w:val="24"/>
        </w:rPr>
        <w:t xml:space="preserve"> con verificación y supervisión del </w:t>
      </w:r>
      <w:r w:rsidR="00F039AD" w:rsidRPr="00197AF3">
        <w:rPr>
          <w:rFonts w:ascii="Arial" w:hAnsi="Arial" w:cs="Arial"/>
          <w:color w:val="000000" w:themeColor="text1"/>
        </w:rPr>
        <w:t>Observatorio de Control y Vigilancia de las Finanzas y las Políticas Públicas</w:t>
      </w:r>
      <w:r w:rsidR="00F039AD" w:rsidRPr="00197AF3">
        <w:rPr>
          <w:rFonts w:ascii="Arial" w:hAnsi="Arial" w:cs="Arial"/>
          <w:b/>
          <w:bCs/>
          <w:color w:val="000000" w:themeColor="text1"/>
        </w:rPr>
        <w:t xml:space="preserve"> - </w:t>
      </w:r>
      <w:r w:rsidR="00F039AD" w:rsidRPr="00197AF3">
        <w:rPr>
          <w:rFonts w:ascii="Arial" w:hAnsi="Arial" w:cs="Arial"/>
          <w:color w:val="000000" w:themeColor="text1"/>
          <w:shd w:val="clear" w:color="auto" w:fill="FFFFFF"/>
        </w:rPr>
        <w:t>Contraloría General de la República</w:t>
      </w:r>
      <w:r w:rsidRPr="00197AF3">
        <w:rPr>
          <w:rFonts w:ascii="Arial" w:hAnsi="Arial" w:cs="Arial"/>
          <w:color w:val="000000" w:themeColor="text1"/>
          <w:sz w:val="24"/>
          <w:szCs w:val="24"/>
        </w:rPr>
        <w:t>, expresado en dólares por galón (US$/Galón), en el día t, para el mes x. Para efectos de las tarifas en pesos, se utilizará para su conversión a dólares la tasa de cambio aplicable a cada uno de los días de cálculo.</w:t>
      </w:r>
    </w:p>
    <w:p w:rsidR="008230BC" w:rsidRPr="00197AF3" w:rsidRDefault="008230BC" w:rsidP="00C31D20">
      <w:pPr>
        <w:pStyle w:val="Ttulo2"/>
        <w:spacing w:before="0"/>
        <w:contextualSpacing/>
        <w:jc w:val="both"/>
        <w:rPr>
          <w:rFonts w:ascii="Arial" w:hAnsi="Arial" w:cs="Arial"/>
          <w:color w:val="000000" w:themeColor="text1"/>
          <w:sz w:val="24"/>
          <w:szCs w:val="24"/>
        </w:rPr>
      </w:pPr>
      <w:proofErr w:type="spellStart"/>
      <w:r w:rsidRPr="00197AF3">
        <w:rPr>
          <w:rFonts w:ascii="Arial" w:hAnsi="Arial" w:cs="Arial"/>
          <w:b/>
          <w:bCs/>
          <w:color w:val="000000" w:themeColor="text1"/>
          <w:sz w:val="24"/>
          <w:szCs w:val="24"/>
        </w:rPr>
        <w:t>FL</w:t>
      </w:r>
      <w:r w:rsidRPr="00197AF3">
        <w:rPr>
          <w:rFonts w:ascii="Arial" w:hAnsi="Arial" w:cs="Arial"/>
          <w:b/>
          <w:bCs/>
          <w:color w:val="000000" w:themeColor="text1"/>
          <w:sz w:val="24"/>
          <w:szCs w:val="24"/>
          <w:vertAlign w:val="subscript"/>
        </w:rPr>
        <w:t>t</w:t>
      </w:r>
      <w:proofErr w:type="spellEnd"/>
      <w:r w:rsidRPr="00197AF3">
        <w:rPr>
          <w:rFonts w:ascii="Arial" w:hAnsi="Arial" w:cs="Arial"/>
          <w:b/>
          <w:bCs/>
          <w:color w:val="000000" w:themeColor="text1"/>
          <w:sz w:val="24"/>
          <w:szCs w:val="24"/>
        </w:rPr>
        <w:t>:</w:t>
      </w:r>
      <w:r w:rsidRPr="00197AF3">
        <w:rPr>
          <w:rFonts w:ascii="Arial" w:hAnsi="Arial" w:cs="Arial"/>
          <w:color w:val="000000" w:themeColor="text1"/>
          <w:sz w:val="24"/>
          <w:szCs w:val="24"/>
        </w:rPr>
        <w:t> Corresponde al costo de los fletes marítimos o terrestres y demás costos incurridos para transportar un galán de ACPM desde el puerto de exportación local de la costa colombiana hasta la costa del Golfo de los Estados Unidos de América, expresado en dólares por galán (US$/Galón), en el día t. Dicho valor será el que resulte de aplicar la siguiente fórmula:</w:t>
      </w:r>
    </w:p>
    <w:p w:rsidR="00B23CBA" w:rsidRPr="00197AF3" w:rsidRDefault="00B23CBA" w:rsidP="00C31D20">
      <w:pPr>
        <w:contextualSpacing/>
        <w:jc w:val="both"/>
        <w:rPr>
          <w:rFonts w:ascii="Arial" w:hAnsi="Arial" w:cs="Arial"/>
          <w:color w:val="000000" w:themeColor="text1"/>
        </w:rPr>
      </w:pPr>
    </w:p>
    <w:p w:rsidR="00D530B6" w:rsidRPr="00C31D20" w:rsidRDefault="008230BC" w:rsidP="00C31D20">
      <w:pPr>
        <w:pStyle w:val="unico"/>
        <w:spacing w:before="0" w:beforeAutospacing="0" w:after="0" w:afterAutospacing="0"/>
        <w:contextualSpacing/>
        <w:jc w:val="center"/>
        <w:rPr>
          <w:rFonts w:ascii="Arial" w:hAnsi="Arial" w:cs="Arial"/>
          <w:bCs/>
          <w:color w:val="000000" w:themeColor="text1"/>
          <w:lang w:val="en-US"/>
        </w:rPr>
      </w:pPr>
      <w:r w:rsidRPr="00C31D20">
        <w:rPr>
          <w:rFonts w:ascii="Arial" w:hAnsi="Arial" w:cs="Arial"/>
          <w:bCs/>
          <w:color w:val="000000" w:themeColor="text1"/>
          <w:lang w:val="en-US"/>
        </w:rPr>
        <w:lastRenderedPageBreak/>
        <w:t>FL</w:t>
      </w:r>
      <w:r w:rsidRPr="00C31D20">
        <w:rPr>
          <w:rFonts w:ascii="Arial" w:hAnsi="Arial" w:cs="Arial"/>
          <w:bCs/>
          <w:color w:val="000000" w:themeColor="text1"/>
          <w:vertAlign w:val="subscript"/>
          <w:lang w:val="en-US"/>
        </w:rPr>
        <w:t>t</w:t>
      </w:r>
      <w:r w:rsidRPr="00C31D20">
        <w:rPr>
          <w:rFonts w:ascii="Arial" w:hAnsi="Arial" w:cs="Arial"/>
          <w:bCs/>
          <w:color w:val="000000" w:themeColor="text1"/>
          <w:lang w:val="en-US"/>
        </w:rPr>
        <w:t>= [Ws</w:t>
      </w:r>
      <w:r w:rsidRPr="00C31D20">
        <w:rPr>
          <w:rFonts w:ascii="Arial" w:hAnsi="Arial" w:cs="Arial"/>
          <w:bCs/>
          <w:color w:val="000000" w:themeColor="text1"/>
          <w:vertAlign w:val="subscript"/>
          <w:lang w:val="en-US"/>
        </w:rPr>
        <w:t>t</w:t>
      </w:r>
      <w:r w:rsidRPr="00C31D20">
        <w:rPr>
          <w:rFonts w:ascii="Arial" w:hAnsi="Arial" w:cs="Arial"/>
          <w:bCs/>
          <w:color w:val="000000" w:themeColor="text1"/>
          <w:lang w:val="en-US"/>
        </w:rPr>
        <w:t> / (f</w:t>
      </w:r>
      <w:r w:rsidR="00D530B6" w:rsidRPr="00C31D20">
        <w:rPr>
          <w:rFonts w:ascii="Arial" w:hAnsi="Arial" w:cs="Arial"/>
          <w:bCs/>
          <w:color w:val="000000" w:themeColor="text1"/>
          <w:lang w:val="en-US"/>
        </w:rPr>
        <w:t xml:space="preserve"> </w:t>
      </w:r>
      <w:r w:rsidRPr="00C31D20">
        <w:rPr>
          <w:rFonts w:ascii="Arial" w:hAnsi="Arial" w:cs="Arial"/>
          <w:bCs/>
          <w:color w:val="000000" w:themeColor="text1"/>
          <w:lang w:val="en-US"/>
        </w:rPr>
        <w:t>*</w:t>
      </w:r>
      <w:r w:rsidR="00D530B6" w:rsidRPr="00C31D20">
        <w:rPr>
          <w:rFonts w:ascii="Arial" w:hAnsi="Arial" w:cs="Arial"/>
          <w:bCs/>
          <w:color w:val="000000" w:themeColor="text1"/>
          <w:lang w:val="en-US"/>
        </w:rPr>
        <w:t xml:space="preserve"> </w:t>
      </w:r>
      <w:r w:rsidRPr="00C31D20">
        <w:rPr>
          <w:rFonts w:ascii="Arial" w:hAnsi="Arial" w:cs="Arial"/>
          <w:bCs/>
          <w:color w:val="000000" w:themeColor="text1"/>
          <w:lang w:val="en-US"/>
        </w:rPr>
        <w:t>42)]</w:t>
      </w:r>
      <w:r w:rsidR="00D530B6" w:rsidRPr="00C31D20">
        <w:rPr>
          <w:rFonts w:ascii="Arial" w:hAnsi="Arial" w:cs="Arial"/>
          <w:bCs/>
          <w:color w:val="000000" w:themeColor="text1"/>
          <w:lang w:val="en-US"/>
        </w:rPr>
        <w:t xml:space="preserve"> </w:t>
      </w:r>
      <w:r w:rsidRPr="00C31D20">
        <w:rPr>
          <w:rFonts w:ascii="Arial" w:hAnsi="Arial" w:cs="Arial"/>
          <w:bCs/>
          <w:color w:val="000000" w:themeColor="text1"/>
          <w:lang w:val="en-US"/>
        </w:rPr>
        <w:t>*</w:t>
      </w:r>
      <w:r w:rsidR="00D530B6" w:rsidRPr="00C31D20">
        <w:rPr>
          <w:rFonts w:ascii="Arial" w:hAnsi="Arial" w:cs="Arial"/>
          <w:bCs/>
          <w:color w:val="000000" w:themeColor="text1"/>
          <w:lang w:val="en-US"/>
        </w:rPr>
        <w:t xml:space="preserve"> </w:t>
      </w:r>
      <w:r w:rsidRPr="00C31D20">
        <w:rPr>
          <w:rFonts w:ascii="Arial" w:hAnsi="Arial" w:cs="Arial"/>
          <w:bCs/>
          <w:color w:val="000000" w:themeColor="text1"/>
          <w:lang w:val="en-US"/>
        </w:rPr>
        <w:t>(STR</w:t>
      </w:r>
      <w:r w:rsidRPr="00C31D20">
        <w:rPr>
          <w:rFonts w:ascii="Arial" w:hAnsi="Arial" w:cs="Arial"/>
          <w:bCs/>
          <w:color w:val="000000" w:themeColor="text1"/>
          <w:vertAlign w:val="subscript"/>
          <w:lang w:val="en-US"/>
        </w:rPr>
        <w:t>t</w:t>
      </w:r>
      <w:r w:rsidRPr="00C31D20">
        <w:rPr>
          <w:rFonts w:ascii="Arial" w:hAnsi="Arial" w:cs="Arial"/>
          <w:bCs/>
          <w:color w:val="000000" w:themeColor="text1"/>
          <w:lang w:val="en-US"/>
        </w:rPr>
        <w:t> / 100)</w:t>
      </w:r>
    </w:p>
    <w:p w:rsidR="00F039AD" w:rsidRPr="00197AF3" w:rsidRDefault="008230BC" w:rsidP="00C31D20">
      <w:pPr>
        <w:pStyle w:val="unico"/>
        <w:spacing w:before="180" w:beforeAutospacing="0" w:after="0" w:afterAutospacing="0"/>
        <w:contextualSpacing/>
        <w:jc w:val="both"/>
        <w:rPr>
          <w:rFonts w:ascii="Arial" w:hAnsi="Arial" w:cs="Arial"/>
          <w:color w:val="000000" w:themeColor="text1"/>
          <w:lang w:val="en-US"/>
        </w:rPr>
      </w:pPr>
      <w:proofErr w:type="spellStart"/>
      <w:r w:rsidRPr="00197AF3">
        <w:rPr>
          <w:rFonts w:ascii="Arial" w:hAnsi="Arial" w:cs="Arial"/>
          <w:color w:val="000000" w:themeColor="text1"/>
          <w:lang w:val="en-US"/>
        </w:rPr>
        <w:t>Donde</w:t>
      </w:r>
      <w:proofErr w:type="spellEnd"/>
      <w:r w:rsidRPr="00197AF3">
        <w:rPr>
          <w:rFonts w:ascii="Arial" w:hAnsi="Arial" w:cs="Arial"/>
          <w:color w:val="000000" w:themeColor="text1"/>
          <w:lang w:val="en-US"/>
        </w:rPr>
        <w:t>:</w:t>
      </w:r>
    </w:p>
    <w:p w:rsidR="00B23CBA" w:rsidRDefault="00B23CBA" w:rsidP="00C31D20">
      <w:pPr>
        <w:pStyle w:val="Ttulo2"/>
        <w:spacing w:before="0"/>
        <w:contextualSpacing/>
        <w:jc w:val="both"/>
        <w:rPr>
          <w:rFonts w:ascii="Arial" w:hAnsi="Arial" w:cs="Arial"/>
          <w:color w:val="000000" w:themeColor="text1"/>
          <w:sz w:val="24"/>
          <w:szCs w:val="24"/>
        </w:rPr>
      </w:pPr>
      <w:r w:rsidRPr="00197AF3">
        <w:rPr>
          <w:rFonts w:ascii="Arial" w:hAnsi="Arial" w:cs="Arial"/>
          <w:b/>
          <w:bCs/>
          <w:color w:val="000000" w:themeColor="text1"/>
          <w:sz w:val="24"/>
          <w:szCs w:val="24"/>
        </w:rPr>
        <w:t>WS</w:t>
      </w:r>
      <w:r w:rsidRPr="00197AF3">
        <w:rPr>
          <w:rFonts w:ascii="Arial" w:hAnsi="Arial" w:cs="Arial"/>
          <w:b/>
          <w:bCs/>
          <w:color w:val="000000" w:themeColor="text1"/>
          <w:sz w:val="24"/>
          <w:szCs w:val="24"/>
          <w:vertAlign w:val="subscript"/>
        </w:rPr>
        <w:t>t</w:t>
      </w:r>
      <w:r w:rsidRPr="00197AF3">
        <w:rPr>
          <w:rFonts w:ascii="Arial" w:hAnsi="Arial" w:cs="Arial"/>
          <w:b/>
          <w:bCs/>
          <w:color w:val="000000" w:themeColor="text1"/>
          <w:sz w:val="24"/>
          <w:szCs w:val="24"/>
        </w:rPr>
        <w:t>:</w:t>
      </w:r>
      <w:r w:rsidRPr="00197AF3">
        <w:rPr>
          <w:rFonts w:ascii="Arial" w:hAnsi="Arial" w:cs="Arial"/>
          <w:color w:val="000000" w:themeColor="text1"/>
          <w:sz w:val="24"/>
          <w:szCs w:val="24"/>
        </w:rPr>
        <w:t> Corresponde a la cotización diaria del flete de referencia de la ruta Houston-pozos colorados, publicado por el Worlwide Tanker Nominal Freight Scale “Worldscale”, expresado en dólares por tonelada métrica, en el día t.</w:t>
      </w:r>
    </w:p>
    <w:p w:rsidR="00B23CBA" w:rsidRPr="00197AF3" w:rsidRDefault="00D530B6" w:rsidP="00C31D20">
      <w:pPr>
        <w:pStyle w:val="Ttulo2"/>
        <w:spacing w:before="0"/>
        <w:contextualSpacing/>
        <w:jc w:val="both"/>
        <w:rPr>
          <w:rFonts w:ascii="Arial" w:hAnsi="Arial" w:cs="Arial"/>
          <w:color w:val="000000" w:themeColor="text1"/>
          <w:sz w:val="24"/>
          <w:szCs w:val="24"/>
        </w:rPr>
      </w:pPr>
      <w:r w:rsidRPr="00197AF3">
        <w:rPr>
          <w:rFonts w:ascii="Arial" w:hAnsi="Arial" w:cs="Arial"/>
          <w:b/>
          <w:bCs/>
          <w:color w:val="000000" w:themeColor="text1"/>
          <w:sz w:val="24"/>
          <w:szCs w:val="24"/>
        </w:rPr>
        <w:t>F</w:t>
      </w:r>
      <w:r w:rsidR="00B23CBA" w:rsidRPr="00197AF3">
        <w:rPr>
          <w:rFonts w:ascii="Arial" w:hAnsi="Arial" w:cs="Arial"/>
          <w:color w:val="000000" w:themeColor="text1"/>
          <w:sz w:val="24"/>
          <w:szCs w:val="24"/>
        </w:rPr>
        <w:t>: Factor de conversión de toneladas métricas a barriles. Para el caso del ACPM este es factor de 7.491 a 34o API.</w:t>
      </w:r>
    </w:p>
    <w:p w:rsidR="00B23CBA" w:rsidRPr="00197AF3" w:rsidRDefault="00B23CBA" w:rsidP="00C31D20">
      <w:pPr>
        <w:pStyle w:val="Ttulo2"/>
        <w:spacing w:before="0"/>
        <w:contextualSpacing/>
        <w:jc w:val="both"/>
        <w:rPr>
          <w:rFonts w:ascii="Arial" w:hAnsi="Arial" w:cs="Arial"/>
          <w:color w:val="000000" w:themeColor="text1"/>
          <w:sz w:val="24"/>
          <w:szCs w:val="24"/>
        </w:rPr>
      </w:pPr>
      <w:r w:rsidRPr="00197AF3">
        <w:rPr>
          <w:rFonts w:ascii="Arial" w:hAnsi="Arial" w:cs="Arial"/>
          <w:b/>
          <w:bCs/>
          <w:color w:val="000000" w:themeColor="text1"/>
          <w:sz w:val="24"/>
          <w:szCs w:val="24"/>
        </w:rPr>
        <w:t>42</w:t>
      </w:r>
      <w:r w:rsidRPr="00197AF3">
        <w:rPr>
          <w:rFonts w:ascii="Arial" w:hAnsi="Arial" w:cs="Arial"/>
          <w:color w:val="000000" w:themeColor="text1"/>
          <w:sz w:val="24"/>
          <w:szCs w:val="24"/>
        </w:rPr>
        <w:t>: Factor de conversión de barril a galón.</w:t>
      </w:r>
    </w:p>
    <w:p w:rsidR="00B23CBA" w:rsidRPr="00197AF3" w:rsidRDefault="00B23CBA" w:rsidP="00C31D20">
      <w:pPr>
        <w:pStyle w:val="Ttulo2"/>
        <w:spacing w:before="0"/>
        <w:contextualSpacing/>
        <w:jc w:val="both"/>
        <w:rPr>
          <w:rFonts w:ascii="Arial" w:hAnsi="Arial" w:cs="Arial"/>
          <w:color w:val="000000" w:themeColor="text1"/>
          <w:sz w:val="24"/>
          <w:szCs w:val="24"/>
        </w:rPr>
      </w:pPr>
      <w:r w:rsidRPr="00197AF3">
        <w:rPr>
          <w:rFonts w:ascii="Arial" w:hAnsi="Arial" w:cs="Arial"/>
          <w:b/>
          <w:bCs/>
          <w:color w:val="000000" w:themeColor="text1"/>
          <w:sz w:val="24"/>
          <w:szCs w:val="24"/>
        </w:rPr>
        <w:t>STR</w:t>
      </w:r>
      <w:r w:rsidRPr="00197AF3">
        <w:rPr>
          <w:rFonts w:ascii="Arial" w:hAnsi="Arial" w:cs="Arial"/>
          <w:b/>
          <w:bCs/>
          <w:color w:val="000000" w:themeColor="text1"/>
          <w:sz w:val="24"/>
          <w:szCs w:val="24"/>
          <w:vertAlign w:val="subscript"/>
        </w:rPr>
        <w:t>t</w:t>
      </w:r>
      <w:r w:rsidRPr="00197AF3">
        <w:rPr>
          <w:rFonts w:ascii="Arial" w:hAnsi="Arial" w:cs="Arial"/>
          <w:b/>
          <w:bCs/>
          <w:color w:val="000000" w:themeColor="text1"/>
          <w:sz w:val="24"/>
          <w:szCs w:val="24"/>
        </w:rPr>
        <w:t>:</w:t>
      </w:r>
      <w:r w:rsidRPr="00197AF3">
        <w:rPr>
          <w:rFonts w:ascii="Arial" w:hAnsi="Arial" w:cs="Arial"/>
          <w:color w:val="000000" w:themeColor="text1"/>
          <w:sz w:val="24"/>
          <w:szCs w:val="24"/>
        </w:rPr>
        <w:t> Corresponde a la cotización diaria, del factor de corrección de mercado para el flete de los tanqueros limpios de 38.000 toneladas métricas para la ruta CARIB/USG, de la publicación PLATT’s de Standard &amp; Poor’s, expresado en unidades de Worldscale (WS Assess), en el día t.</w:t>
      </w:r>
    </w:p>
    <w:p w:rsidR="00B23CBA" w:rsidRPr="00197AF3" w:rsidRDefault="00B23CBA" w:rsidP="00C31D20">
      <w:pPr>
        <w:contextualSpacing/>
        <w:jc w:val="both"/>
        <w:rPr>
          <w:rFonts w:ascii="Arial" w:hAnsi="Arial" w:cs="Arial"/>
          <w:color w:val="000000" w:themeColor="text1"/>
        </w:rPr>
      </w:pPr>
    </w:p>
    <w:p w:rsidR="00B23CBA" w:rsidRPr="00197AF3" w:rsidRDefault="00F039AD" w:rsidP="00C31D20">
      <w:pPr>
        <w:pStyle w:val="Ttulo2"/>
        <w:spacing w:before="0"/>
        <w:contextualSpacing/>
        <w:jc w:val="both"/>
        <w:rPr>
          <w:rFonts w:ascii="Arial" w:hAnsi="Arial" w:cs="Arial"/>
          <w:color w:val="000000" w:themeColor="text1"/>
          <w:sz w:val="24"/>
          <w:szCs w:val="24"/>
        </w:rPr>
      </w:pPr>
      <w:r>
        <w:rPr>
          <w:rFonts w:ascii="Arial" w:hAnsi="Arial" w:cs="Arial"/>
          <w:b/>
          <w:bCs/>
          <w:color w:val="000000" w:themeColor="text1"/>
          <w:sz w:val="24"/>
          <w:szCs w:val="24"/>
        </w:rPr>
        <w:t>Paridad Importación d</w:t>
      </w:r>
      <w:r w:rsidRPr="00197AF3">
        <w:rPr>
          <w:rFonts w:ascii="Arial" w:hAnsi="Arial" w:cs="Arial"/>
          <w:b/>
          <w:bCs/>
          <w:color w:val="000000" w:themeColor="text1"/>
          <w:sz w:val="24"/>
          <w:szCs w:val="24"/>
        </w:rPr>
        <w:t>el</w:t>
      </w:r>
      <w:r w:rsidR="00D530B6" w:rsidRPr="00197AF3">
        <w:rPr>
          <w:rFonts w:ascii="Arial" w:hAnsi="Arial" w:cs="Arial"/>
          <w:b/>
          <w:bCs/>
          <w:color w:val="000000" w:themeColor="text1"/>
          <w:sz w:val="24"/>
          <w:szCs w:val="24"/>
        </w:rPr>
        <w:t xml:space="preserve"> ACPM - PPIMPO</w:t>
      </w:r>
      <w:r w:rsidR="00D530B6" w:rsidRPr="00197AF3">
        <w:rPr>
          <w:rFonts w:ascii="Arial" w:hAnsi="Arial" w:cs="Arial"/>
          <w:b/>
          <w:bCs/>
          <w:color w:val="000000" w:themeColor="text1"/>
          <w:sz w:val="24"/>
          <w:szCs w:val="24"/>
          <w:vertAlign w:val="subscript"/>
        </w:rPr>
        <w:t>T,X</w:t>
      </w:r>
      <w:r w:rsidR="00D530B6" w:rsidRPr="00197AF3">
        <w:rPr>
          <w:rFonts w:ascii="Arial" w:hAnsi="Arial" w:cs="Arial"/>
          <w:b/>
          <w:bCs/>
          <w:color w:val="000000" w:themeColor="text1"/>
          <w:sz w:val="24"/>
          <w:szCs w:val="24"/>
        </w:rPr>
        <w:t>:</w:t>
      </w:r>
      <w:r w:rsidR="00B23CBA" w:rsidRPr="00197AF3">
        <w:rPr>
          <w:rFonts w:ascii="Arial" w:hAnsi="Arial" w:cs="Arial"/>
          <w:color w:val="000000" w:themeColor="text1"/>
          <w:sz w:val="24"/>
          <w:szCs w:val="24"/>
        </w:rPr>
        <w:t> Corresponde al precio paridad importación, referenciado al mercado del Golfo de los Estados Unidos de América, de cada observación diaria del ACPM para uso en motores diésel y se calculará como el promedio ponderado de los índices: Diésel 2, ULSD (ultra low sulfur diésel), y LSD (low sulfur diésel) de la Costa del Golfo de los Estados Unidos de América, con base en los volúmenes de las corrientes de diferentes calidades utilizadas por todos los refinadores para la producción de diésel en la calidad exigida por la regulación, mediante la siguiente ecuación:</w:t>
      </w:r>
    </w:p>
    <w:p w:rsidR="00F035B7" w:rsidRPr="00197AF3" w:rsidRDefault="00F035B7" w:rsidP="00C31D20">
      <w:pPr>
        <w:contextualSpacing/>
        <w:jc w:val="both"/>
        <w:rPr>
          <w:rFonts w:ascii="Arial" w:hAnsi="Arial" w:cs="Arial"/>
          <w:color w:val="000000" w:themeColor="text1"/>
        </w:rPr>
      </w:pPr>
    </w:p>
    <w:p w:rsidR="00F035B7" w:rsidRPr="00197AF3" w:rsidRDefault="00F035B7" w:rsidP="00C31D20">
      <w:pPr>
        <w:contextualSpacing/>
        <w:jc w:val="both"/>
        <w:rPr>
          <w:rFonts w:ascii="Arial" w:hAnsi="Arial" w:cs="Arial"/>
          <w:color w:val="000000" w:themeColor="text1"/>
        </w:rPr>
      </w:pPr>
      <w:r w:rsidRPr="00197AF3">
        <w:rPr>
          <w:rFonts w:ascii="Arial" w:hAnsi="Arial" w:cs="Arial"/>
          <w:color w:val="000000" w:themeColor="text1"/>
        </w:rPr>
        <w:fldChar w:fldCharType="begin"/>
      </w:r>
      <w:r w:rsidRPr="00197AF3">
        <w:rPr>
          <w:rFonts w:ascii="Arial" w:hAnsi="Arial" w:cs="Arial"/>
          <w:color w:val="000000" w:themeColor="text1"/>
        </w:rPr>
        <w:instrText xml:space="preserve"> INCLUDEPICTURE "http://static.legal.legis.com.co/807b8a71386745dd90500599bcae7664.JPG" \* MERGEFORMATINET </w:instrText>
      </w:r>
      <w:r w:rsidRPr="00197AF3">
        <w:rPr>
          <w:rFonts w:ascii="Arial" w:hAnsi="Arial" w:cs="Arial"/>
          <w:color w:val="000000" w:themeColor="text1"/>
        </w:rPr>
        <w:fldChar w:fldCharType="separate"/>
      </w:r>
      <w:r w:rsidRPr="00197AF3">
        <w:rPr>
          <w:rFonts w:ascii="Arial" w:hAnsi="Arial" w:cs="Arial"/>
          <w:noProof/>
          <w:color w:val="000000" w:themeColor="text1"/>
          <w:lang w:eastAsia="es-CO"/>
        </w:rPr>
        <w:drawing>
          <wp:inline distT="0" distB="0" distL="0" distR="0" wp14:anchorId="6EF69569" wp14:editId="04CEC3BA">
            <wp:extent cx="5612130" cy="557530"/>
            <wp:effectExtent l="0" t="0" r="1270" b="1270"/>
            <wp:docPr id="25" name="Imagen 25" descr="R181491MM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R181491MME(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557530"/>
                    </a:xfrm>
                    <a:prstGeom prst="rect">
                      <a:avLst/>
                    </a:prstGeom>
                    <a:noFill/>
                    <a:ln>
                      <a:noFill/>
                    </a:ln>
                  </pic:spPr>
                </pic:pic>
              </a:graphicData>
            </a:graphic>
          </wp:inline>
        </w:drawing>
      </w:r>
      <w:r w:rsidRPr="00197AF3">
        <w:rPr>
          <w:rFonts w:ascii="Arial" w:hAnsi="Arial" w:cs="Arial"/>
          <w:color w:val="000000" w:themeColor="text1"/>
        </w:rPr>
        <w:fldChar w:fldCharType="end"/>
      </w:r>
    </w:p>
    <w:p w:rsidR="00F035B7" w:rsidRPr="00197AF3" w:rsidRDefault="008230BC" w:rsidP="00C31D20">
      <w:pPr>
        <w:contextualSpacing/>
        <w:jc w:val="both"/>
        <w:rPr>
          <w:rFonts w:ascii="Arial" w:hAnsi="Arial" w:cs="Arial"/>
          <w:color w:val="000000" w:themeColor="text1"/>
        </w:rPr>
      </w:pPr>
      <w:r w:rsidRPr="00197AF3">
        <w:rPr>
          <w:rFonts w:ascii="Arial" w:hAnsi="Arial" w:cs="Arial"/>
          <w:color w:val="000000" w:themeColor="text1"/>
        </w:rPr>
        <w:t> </w:t>
      </w:r>
      <w:r w:rsidR="00F035B7" w:rsidRPr="00197AF3">
        <w:rPr>
          <w:rFonts w:ascii="Arial" w:hAnsi="Arial" w:cs="Arial"/>
          <w:color w:val="000000" w:themeColor="text1"/>
        </w:rPr>
        <w:t>Donde:</w:t>
      </w:r>
    </w:p>
    <w:p w:rsidR="00D530B6" w:rsidRPr="00C31D20" w:rsidRDefault="00F035B7" w:rsidP="00C31D20">
      <w:pPr>
        <w:pStyle w:val="unico"/>
        <w:spacing w:before="180" w:beforeAutospacing="0" w:after="0" w:afterAutospacing="0"/>
        <w:contextualSpacing/>
        <w:jc w:val="center"/>
        <w:rPr>
          <w:rFonts w:ascii="Arial" w:hAnsi="Arial" w:cs="Arial"/>
          <w:bCs/>
          <w:color w:val="000000" w:themeColor="text1"/>
        </w:rPr>
      </w:pPr>
      <w:r w:rsidRPr="00C31D20">
        <w:rPr>
          <w:rFonts w:ascii="Arial" w:hAnsi="Arial" w:cs="Arial"/>
          <w:bCs/>
          <w:color w:val="000000" w:themeColor="text1"/>
        </w:rPr>
        <w:t>SE=S* PROULS</w:t>
      </w:r>
    </w:p>
    <w:p w:rsidR="00D530B6" w:rsidRPr="00197AF3" w:rsidRDefault="00D530B6" w:rsidP="00C31D20">
      <w:pPr>
        <w:pStyle w:val="unico"/>
        <w:spacing w:before="180" w:beforeAutospacing="0" w:after="0" w:afterAutospacing="0"/>
        <w:contextualSpacing/>
        <w:jc w:val="both"/>
        <w:rPr>
          <w:rFonts w:ascii="Arial" w:hAnsi="Arial" w:cs="Arial"/>
          <w:color w:val="000000" w:themeColor="text1"/>
        </w:rPr>
      </w:pPr>
    </w:p>
    <w:p w:rsidR="00F035B7" w:rsidRPr="00197AF3" w:rsidRDefault="00F035B7" w:rsidP="00C31D20">
      <w:pPr>
        <w:pStyle w:val="Ttulo2"/>
        <w:spacing w:before="0"/>
        <w:contextualSpacing/>
        <w:jc w:val="both"/>
        <w:rPr>
          <w:rFonts w:ascii="Arial" w:hAnsi="Arial" w:cs="Arial"/>
          <w:color w:val="000000" w:themeColor="text1"/>
          <w:sz w:val="24"/>
          <w:szCs w:val="24"/>
        </w:rPr>
      </w:pPr>
      <w:r w:rsidRPr="00197AF3">
        <w:rPr>
          <w:rFonts w:ascii="Arial" w:hAnsi="Arial" w:cs="Arial"/>
          <w:b/>
          <w:bCs/>
          <w:color w:val="000000" w:themeColor="text1"/>
          <w:sz w:val="24"/>
          <w:szCs w:val="24"/>
        </w:rPr>
        <w:t>SE:</w:t>
      </w:r>
      <w:r w:rsidRPr="00197AF3">
        <w:rPr>
          <w:rFonts w:ascii="Arial" w:hAnsi="Arial" w:cs="Arial"/>
          <w:color w:val="000000" w:themeColor="text1"/>
          <w:sz w:val="24"/>
          <w:szCs w:val="24"/>
        </w:rPr>
        <w:t> Será el costo de los seguros marítimos o terrestres y demás costos incurridos para transportar un galán de ACPM desde la Costa del Golfo de los Estados Unidos hasta el puerto de importación local, expresado en dólares por galón (US$/Galón), el cual será calculado de acuerdo con la siguiente fórmula:</w:t>
      </w:r>
    </w:p>
    <w:p w:rsidR="00F035B7" w:rsidRPr="00197AF3" w:rsidRDefault="00F035B7" w:rsidP="00C31D20">
      <w:pPr>
        <w:pStyle w:val="unico"/>
        <w:spacing w:before="180" w:beforeAutospacing="0" w:after="0" w:afterAutospacing="0"/>
        <w:contextualSpacing/>
        <w:jc w:val="both"/>
        <w:rPr>
          <w:rFonts w:ascii="Arial" w:hAnsi="Arial" w:cs="Arial"/>
          <w:color w:val="000000" w:themeColor="text1"/>
        </w:rPr>
      </w:pPr>
      <w:r w:rsidRPr="00197AF3">
        <w:rPr>
          <w:rFonts w:ascii="Arial" w:hAnsi="Arial" w:cs="Arial"/>
          <w:b/>
          <w:bCs/>
          <w:color w:val="000000" w:themeColor="text1"/>
        </w:rPr>
        <w:t>S:</w:t>
      </w:r>
      <w:r w:rsidRPr="00197AF3">
        <w:rPr>
          <w:rFonts w:ascii="Arial" w:hAnsi="Arial" w:cs="Arial"/>
          <w:color w:val="000000" w:themeColor="text1"/>
        </w:rPr>
        <w:t xml:space="preserve"> Será el factor multiplicador utilizado para el cálculo de los seguros (SE). El factor vigente a partir de la entrada en vigencia de la presente </w:t>
      </w:r>
      <w:r w:rsidR="00F039AD">
        <w:rPr>
          <w:rFonts w:ascii="Arial" w:hAnsi="Arial" w:cs="Arial"/>
          <w:color w:val="000000" w:themeColor="text1"/>
        </w:rPr>
        <w:t>ley</w:t>
      </w:r>
      <w:r w:rsidRPr="00197AF3">
        <w:rPr>
          <w:rFonts w:ascii="Arial" w:hAnsi="Arial" w:cs="Arial"/>
          <w:color w:val="000000" w:themeColor="text1"/>
        </w:rPr>
        <w:t xml:space="preserve"> será 0.000387.</w:t>
      </w:r>
    </w:p>
    <w:p w:rsidR="00F035B7" w:rsidRPr="00197AF3" w:rsidRDefault="00F035B7" w:rsidP="00C31D20">
      <w:pPr>
        <w:pStyle w:val="unico"/>
        <w:spacing w:before="180" w:beforeAutospacing="0" w:after="0" w:afterAutospacing="0"/>
        <w:contextualSpacing/>
        <w:jc w:val="both"/>
        <w:rPr>
          <w:rFonts w:ascii="Arial" w:hAnsi="Arial" w:cs="Arial"/>
          <w:color w:val="000000" w:themeColor="text1"/>
        </w:rPr>
      </w:pPr>
      <w:r w:rsidRPr="00197AF3">
        <w:rPr>
          <w:rFonts w:ascii="Arial" w:hAnsi="Arial" w:cs="Arial"/>
          <w:color w:val="000000" w:themeColor="text1"/>
        </w:rPr>
        <w:t>Este factor multipl</w:t>
      </w:r>
      <w:r w:rsidR="00F039AD">
        <w:rPr>
          <w:rFonts w:ascii="Arial" w:hAnsi="Arial" w:cs="Arial"/>
          <w:color w:val="000000" w:themeColor="text1"/>
        </w:rPr>
        <w:t>icador será revisado anualmente</w:t>
      </w:r>
      <w:r w:rsidRPr="00197AF3">
        <w:rPr>
          <w:rFonts w:ascii="Arial" w:hAnsi="Arial" w:cs="Arial"/>
          <w:color w:val="000000" w:themeColor="text1"/>
        </w:rPr>
        <w:t xml:space="preserve">. Para cada año el Ministerio de Minas y Energía </w:t>
      </w:r>
      <w:r w:rsidR="00F039AD">
        <w:rPr>
          <w:rFonts w:ascii="Arial" w:hAnsi="Arial" w:cs="Arial"/>
          <w:color w:val="000000" w:themeColor="text1"/>
        </w:rPr>
        <w:t xml:space="preserve">con verificación y supervisión del </w:t>
      </w:r>
      <w:r w:rsidR="00F039AD" w:rsidRPr="00197AF3">
        <w:rPr>
          <w:rFonts w:ascii="Arial" w:hAnsi="Arial" w:cs="Arial"/>
          <w:color w:val="000000" w:themeColor="text1"/>
        </w:rPr>
        <w:t>Observatorio de Control y Vigilancia de las Finanzas y las Políticas Públicas</w:t>
      </w:r>
      <w:r w:rsidR="00F039AD" w:rsidRPr="00197AF3">
        <w:rPr>
          <w:rFonts w:ascii="Arial" w:hAnsi="Arial" w:cs="Arial"/>
          <w:b/>
          <w:bCs/>
          <w:color w:val="000000" w:themeColor="text1"/>
        </w:rPr>
        <w:t xml:space="preserve"> - </w:t>
      </w:r>
      <w:r w:rsidR="00F039AD" w:rsidRPr="00197AF3">
        <w:rPr>
          <w:rFonts w:ascii="Arial" w:hAnsi="Arial" w:cs="Arial"/>
          <w:color w:val="000000" w:themeColor="text1"/>
          <w:shd w:val="clear" w:color="auto" w:fill="FFFFFF"/>
        </w:rPr>
        <w:t>Contraloría General de la República</w:t>
      </w:r>
      <w:r w:rsidR="00F039AD" w:rsidRPr="00197AF3">
        <w:rPr>
          <w:rFonts w:ascii="Arial" w:hAnsi="Arial" w:cs="Arial"/>
          <w:color w:val="000000" w:themeColor="text1"/>
        </w:rPr>
        <w:t xml:space="preserve"> </w:t>
      </w:r>
      <w:r w:rsidRPr="00197AF3">
        <w:rPr>
          <w:rFonts w:ascii="Arial" w:hAnsi="Arial" w:cs="Arial"/>
          <w:color w:val="000000" w:themeColor="text1"/>
        </w:rPr>
        <w:t xml:space="preserve">fijará el valor de S, con base en el promedio de cotizaciones de mínimo tres (3) compañías de seguros internacionales, cuya calificación de deuda en </w:t>
      </w:r>
      <w:r w:rsidRPr="00197AF3">
        <w:rPr>
          <w:rFonts w:ascii="Arial" w:hAnsi="Arial" w:cs="Arial"/>
          <w:color w:val="000000" w:themeColor="text1"/>
        </w:rPr>
        <w:lastRenderedPageBreak/>
        <w:t>dólares de largo plazo será igual o superior a BBB- de Standard &amp; Poor’s, o tenga un grado de calificación equivalente otorgado por otra agencia internacional de calificación de riesgo.</w:t>
      </w:r>
    </w:p>
    <w:p w:rsidR="00C31D20" w:rsidRDefault="00C31D20" w:rsidP="00C31D20">
      <w:pPr>
        <w:pStyle w:val="Ttulo2"/>
        <w:spacing w:before="0"/>
        <w:contextualSpacing/>
        <w:jc w:val="both"/>
        <w:rPr>
          <w:rFonts w:ascii="Arial" w:eastAsia="Times New Roman" w:hAnsi="Arial" w:cs="Arial"/>
          <w:color w:val="000000" w:themeColor="text1"/>
          <w:sz w:val="24"/>
          <w:szCs w:val="24"/>
        </w:rPr>
      </w:pPr>
    </w:p>
    <w:p w:rsidR="00F035B7" w:rsidRPr="00197AF3" w:rsidRDefault="00F035B7" w:rsidP="00C31D20">
      <w:pPr>
        <w:pStyle w:val="Ttulo2"/>
        <w:spacing w:before="0"/>
        <w:contextualSpacing/>
        <w:jc w:val="both"/>
        <w:rPr>
          <w:rFonts w:ascii="Arial" w:hAnsi="Arial" w:cs="Arial"/>
          <w:color w:val="000000" w:themeColor="text1"/>
          <w:sz w:val="24"/>
          <w:szCs w:val="24"/>
        </w:rPr>
      </w:pPr>
      <w:r w:rsidRPr="00197AF3">
        <w:rPr>
          <w:rFonts w:ascii="Arial" w:hAnsi="Arial" w:cs="Arial"/>
          <w:b/>
          <w:bCs/>
          <w:color w:val="000000" w:themeColor="text1"/>
          <w:sz w:val="24"/>
          <w:szCs w:val="24"/>
        </w:rPr>
        <w:t>PROULS:</w:t>
      </w:r>
      <w:r w:rsidRPr="00197AF3">
        <w:rPr>
          <w:rFonts w:ascii="Arial" w:hAnsi="Arial" w:cs="Arial"/>
          <w:color w:val="000000" w:themeColor="text1"/>
          <w:sz w:val="24"/>
          <w:szCs w:val="24"/>
        </w:rPr>
        <w:t> Será el promedio de las cotizaciones del Índice ULSD (ultra low sulfur diésel) U.S. Gulf Coast Waterborne de la publicación PLATTs de Standard &amp; Poor’s, publicadas durante los últimos treinta (30) días calendario inmediatamente anteriores a la fecha de cálculo, expresadas en dólares por galán (US$/GaI).</w:t>
      </w:r>
    </w:p>
    <w:p w:rsidR="00D530B6" w:rsidRPr="00197AF3" w:rsidRDefault="00D530B6" w:rsidP="00C31D20">
      <w:pPr>
        <w:contextualSpacing/>
        <w:rPr>
          <w:rFonts w:ascii="Arial" w:hAnsi="Arial" w:cs="Arial"/>
        </w:rPr>
      </w:pPr>
    </w:p>
    <w:p w:rsidR="00F035B7" w:rsidRPr="00197AF3" w:rsidRDefault="00F035B7" w:rsidP="00C31D20">
      <w:pPr>
        <w:pStyle w:val="Ttulo2"/>
        <w:spacing w:before="0"/>
        <w:contextualSpacing/>
        <w:jc w:val="both"/>
        <w:rPr>
          <w:rFonts w:ascii="Arial" w:hAnsi="Arial" w:cs="Arial"/>
          <w:color w:val="000000" w:themeColor="text1"/>
          <w:sz w:val="24"/>
          <w:szCs w:val="24"/>
        </w:rPr>
      </w:pPr>
      <w:r w:rsidRPr="00197AF3">
        <w:rPr>
          <w:rFonts w:ascii="Arial" w:hAnsi="Arial" w:cs="Arial"/>
          <w:b/>
          <w:bCs/>
          <w:color w:val="000000" w:themeColor="text1"/>
          <w:sz w:val="24"/>
          <w:szCs w:val="24"/>
        </w:rPr>
        <w:t>IM:</w:t>
      </w:r>
      <w:r w:rsidRPr="00197AF3">
        <w:rPr>
          <w:rFonts w:ascii="Arial" w:hAnsi="Arial" w:cs="Arial"/>
          <w:color w:val="000000" w:themeColor="text1"/>
          <w:sz w:val="24"/>
          <w:szCs w:val="24"/>
        </w:rPr>
        <w:t> Será el valor de lzas inspecciones de calidad en puerto de cargue y descargue, expresado en dólares por galón (US$/galón). Este co</w:t>
      </w:r>
      <w:r w:rsidR="00F039AD">
        <w:rPr>
          <w:rFonts w:ascii="Arial" w:hAnsi="Arial" w:cs="Arial"/>
          <w:color w:val="000000" w:themeColor="text1"/>
          <w:sz w:val="24"/>
          <w:szCs w:val="24"/>
        </w:rPr>
        <w:t>sto será de US$0.000286 por galó</w:t>
      </w:r>
      <w:r w:rsidRPr="00197AF3">
        <w:rPr>
          <w:rFonts w:ascii="Arial" w:hAnsi="Arial" w:cs="Arial"/>
          <w:color w:val="000000" w:themeColor="text1"/>
          <w:sz w:val="24"/>
          <w:szCs w:val="24"/>
        </w:rPr>
        <w:t>n a partir de la fecha de entrada en vi</w:t>
      </w:r>
      <w:r w:rsidR="00F039AD">
        <w:rPr>
          <w:rFonts w:ascii="Arial" w:hAnsi="Arial" w:cs="Arial"/>
          <w:color w:val="000000" w:themeColor="text1"/>
          <w:sz w:val="24"/>
          <w:szCs w:val="24"/>
        </w:rPr>
        <w:t>gencia de la presente ley</w:t>
      </w:r>
      <w:r w:rsidRPr="00197AF3">
        <w:rPr>
          <w:rFonts w:ascii="Arial" w:hAnsi="Arial" w:cs="Arial"/>
          <w:color w:val="000000" w:themeColor="text1"/>
          <w:sz w:val="24"/>
          <w:szCs w:val="24"/>
        </w:rPr>
        <w:t>.</w:t>
      </w:r>
    </w:p>
    <w:p w:rsidR="00D530B6" w:rsidRDefault="00F035B7" w:rsidP="00C31D20">
      <w:pPr>
        <w:pStyle w:val="unico"/>
        <w:spacing w:before="180" w:beforeAutospacing="0" w:after="0" w:afterAutospacing="0"/>
        <w:contextualSpacing/>
        <w:jc w:val="both"/>
        <w:rPr>
          <w:rFonts w:ascii="Arial" w:hAnsi="Arial" w:cs="Arial"/>
          <w:color w:val="000000" w:themeColor="text1"/>
        </w:rPr>
      </w:pPr>
      <w:r w:rsidRPr="00197AF3">
        <w:rPr>
          <w:rFonts w:ascii="Arial" w:hAnsi="Arial" w:cs="Arial"/>
          <w:color w:val="000000" w:themeColor="text1"/>
        </w:rPr>
        <w:t xml:space="preserve">Este </w:t>
      </w:r>
      <w:r w:rsidR="00F039AD">
        <w:rPr>
          <w:rFonts w:ascii="Arial" w:hAnsi="Arial" w:cs="Arial"/>
          <w:color w:val="000000" w:themeColor="text1"/>
        </w:rPr>
        <w:t>valor será ajustado anualmente</w:t>
      </w:r>
      <w:r w:rsidRPr="00197AF3">
        <w:rPr>
          <w:rFonts w:ascii="Arial" w:hAnsi="Arial" w:cs="Arial"/>
          <w:color w:val="000000" w:themeColor="text1"/>
        </w:rPr>
        <w:t>, con base en los costos de inspección de calidad y manejo en el puerto que se encuentren vige</w:t>
      </w:r>
      <w:r w:rsidR="00F039AD">
        <w:rPr>
          <w:rFonts w:ascii="Arial" w:hAnsi="Arial" w:cs="Arial"/>
          <w:color w:val="000000" w:themeColor="text1"/>
        </w:rPr>
        <w:t>ntes para cada fecha de ajuste.</w:t>
      </w:r>
    </w:p>
    <w:p w:rsidR="00C31D20" w:rsidRDefault="00C31D20" w:rsidP="00C31D20">
      <w:pPr>
        <w:pStyle w:val="Ttulo2"/>
        <w:spacing w:before="0"/>
        <w:contextualSpacing/>
        <w:jc w:val="both"/>
        <w:rPr>
          <w:rFonts w:ascii="Arial" w:eastAsia="Times New Roman" w:hAnsi="Arial" w:cs="Arial"/>
          <w:color w:val="000000" w:themeColor="text1"/>
          <w:sz w:val="24"/>
          <w:szCs w:val="24"/>
        </w:rPr>
      </w:pPr>
    </w:p>
    <w:p w:rsidR="00F035B7" w:rsidRPr="00197AF3" w:rsidRDefault="00F035B7" w:rsidP="00C31D20">
      <w:pPr>
        <w:pStyle w:val="Ttulo2"/>
        <w:spacing w:before="0"/>
        <w:contextualSpacing/>
        <w:jc w:val="both"/>
        <w:rPr>
          <w:rFonts w:ascii="Arial" w:hAnsi="Arial" w:cs="Arial"/>
          <w:color w:val="000000" w:themeColor="text1"/>
          <w:sz w:val="24"/>
          <w:szCs w:val="24"/>
        </w:rPr>
      </w:pPr>
      <w:r w:rsidRPr="00197AF3">
        <w:rPr>
          <w:rFonts w:ascii="Arial" w:hAnsi="Arial" w:cs="Arial"/>
          <w:b/>
          <w:bCs/>
          <w:color w:val="000000" w:themeColor="text1"/>
          <w:sz w:val="24"/>
          <w:szCs w:val="24"/>
        </w:rPr>
        <w:t>Diferencial: </w:t>
      </w:r>
      <w:r w:rsidRPr="00197AF3">
        <w:rPr>
          <w:rFonts w:ascii="Arial" w:hAnsi="Arial" w:cs="Arial"/>
          <w:color w:val="000000" w:themeColor="text1"/>
          <w:sz w:val="24"/>
          <w:szCs w:val="24"/>
        </w:rPr>
        <w:t>Corresponde a la diferencia positiva o negativa entre el precio ponderado de paridad diario del ACPM, referenciado al mercado del Golfo de los Estados Unidos de América y el ingreso al productor vigente para cada día del mes.</w:t>
      </w:r>
    </w:p>
    <w:p w:rsidR="00F035B7" w:rsidRPr="00197AF3" w:rsidRDefault="00F035B7" w:rsidP="00C31D20">
      <w:pPr>
        <w:pStyle w:val="unico"/>
        <w:spacing w:before="180" w:beforeAutospacing="0" w:after="0" w:afterAutospacing="0"/>
        <w:contextualSpacing/>
        <w:jc w:val="both"/>
        <w:rPr>
          <w:rFonts w:ascii="Arial" w:hAnsi="Arial" w:cs="Arial"/>
          <w:color w:val="000000" w:themeColor="text1"/>
        </w:rPr>
      </w:pPr>
      <w:r w:rsidRPr="00197AF3">
        <w:rPr>
          <w:rFonts w:ascii="Arial" w:hAnsi="Arial" w:cs="Arial"/>
          <w:color w:val="000000" w:themeColor="text1"/>
        </w:rPr>
        <w:t>Cuando el diferencial anterior es positivo se denomina diferencial de compensación por galón, cuando es negativo se denomina diferencial de participación por galón.</w:t>
      </w:r>
    </w:p>
    <w:p w:rsidR="00D530B6" w:rsidRPr="00197AF3" w:rsidRDefault="00D530B6" w:rsidP="00C31D20">
      <w:pPr>
        <w:pStyle w:val="unico"/>
        <w:spacing w:before="180" w:beforeAutospacing="0" w:after="0" w:afterAutospacing="0"/>
        <w:contextualSpacing/>
        <w:jc w:val="both"/>
        <w:rPr>
          <w:rFonts w:ascii="Arial" w:hAnsi="Arial" w:cs="Arial"/>
          <w:color w:val="000000" w:themeColor="text1"/>
        </w:rPr>
      </w:pPr>
    </w:p>
    <w:p w:rsidR="00F035B7" w:rsidRPr="00197AF3" w:rsidRDefault="002D432E" w:rsidP="00C31D20">
      <w:pPr>
        <w:pStyle w:val="Ttulo2"/>
        <w:spacing w:before="0"/>
        <w:contextualSpacing/>
        <w:jc w:val="both"/>
        <w:rPr>
          <w:rFonts w:ascii="Arial" w:hAnsi="Arial" w:cs="Arial"/>
          <w:color w:val="000000" w:themeColor="text1"/>
          <w:sz w:val="24"/>
          <w:szCs w:val="24"/>
        </w:rPr>
      </w:pPr>
      <w:r w:rsidRPr="00197AF3">
        <w:rPr>
          <w:rFonts w:ascii="Arial" w:hAnsi="Arial" w:cs="Arial"/>
          <w:b/>
          <w:bCs/>
          <w:color w:val="000000" w:themeColor="text1"/>
          <w:sz w:val="24"/>
          <w:szCs w:val="24"/>
        </w:rPr>
        <w:t>Pre</w:t>
      </w:r>
      <w:r>
        <w:rPr>
          <w:rFonts w:ascii="Arial" w:hAnsi="Arial" w:cs="Arial"/>
          <w:b/>
          <w:bCs/>
          <w:color w:val="000000" w:themeColor="text1"/>
          <w:sz w:val="24"/>
          <w:szCs w:val="24"/>
        </w:rPr>
        <w:t>cio Ponderado de Paridad en la fecha de Cálculo d</w:t>
      </w:r>
      <w:r w:rsidRPr="00197AF3">
        <w:rPr>
          <w:rFonts w:ascii="Arial" w:hAnsi="Arial" w:cs="Arial"/>
          <w:b/>
          <w:bCs/>
          <w:color w:val="000000" w:themeColor="text1"/>
          <w:sz w:val="24"/>
          <w:szCs w:val="24"/>
        </w:rPr>
        <w:t>el</w:t>
      </w:r>
      <w:r w:rsidR="00D530B6" w:rsidRPr="00197AF3">
        <w:rPr>
          <w:rFonts w:ascii="Arial" w:hAnsi="Arial" w:cs="Arial"/>
          <w:b/>
          <w:bCs/>
          <w:color w:val="000000" w:themeColor="text1"/>
          <w:sz w:val="24"/>
          <w:szCs w:val="24"/>
        </w:rPr>
        <w:t xml:space="preserve"> </w:t>
      </w:r>
      <w:r w:rsidR="00F035B7" w:rsidRPr="00197AF3">
        <w:rPr>
          <w:rFonts w:ascii="Arial" w:hAnsi="Arial" w:cs="Arial"/>
          <w:b/>
          <w:bCs/>
          <w:color w:val="000000" w:themeColor="text1"/>
          <w:sz w:val="24"/>
          <w:szCs w:val="24"/>
        </w:rPr>
        <w:t>ACPM - PPP</w:t>
      </w:r>
      <w:r w:rsidR="00F035B7" w:rsidRPr="00197AF3">
        <w:rPr>
          <w:rFonts w:ascii="Arial" w:hAnsi="Arial" w:cs="Arial"/>
          <w:b/>
          <w:bCs/>
          <w:color w:val="000000" w:themeColor="text1"/>
          <w:sz w:val="24"/>
          <w:szCs w:val="24"/>
          <w:vertAlign w:val="subscript"/>
        </w:rPr>
        <w:t>fc</w:t>
      </w:r>
      <w:r w:rsidR="00F035B7" w:rsidRPr="00197AF3">
        <w:rPr>
          <w:rFonts w:ascii="Arial" w:hAnsi="Arial" w:cs="Arial"/>
          <w:b/>
          <w:bCs/>
          <w:color w:val="000000" w:themeColor="text1"/>
          <w:sz w:val="24"/>
          <w:szCs w:val="24"/>
        </w:rPr>
        <w:t>:</w:t>
      </w:r>
      <w:r w:rsidR="00F035B7" w:rsidRPr="00197AF3">
        <w:rPr>
          <w:rFonts w:ascii="Arial" w:hAnsi="Arial" w:cs="Arial"/>
          <w:color w:val="000000" w:themeColor="text1"/>
          <w:sz w:val="24"/>
          <w:szCs w:val="24"/>
        </w:rPr>
        <w:t xml:space="preserve"> Corresponde al último precio ponderado de paridad diario del ACPM - PPPt, referenciado al mercado del Golfo de los Estados Unidos de América, disponible en la fecha de cálculo de acuerdo con el rezago en los datos reportados por la publicación PLATT’s de Standard &amp; Poor’s.</w:t>
      </w:r>
    </w:p>
    <w:p w:rsidR="00D530B6" w:rsidRPr="00197AF3" w:rsidRDefault="00D530B6" w:rsidP="00C31D20">
      <w:pPr>
        <w:contextualSpacing/>
        <w:rPr>
          <w:rFonts w:ascii="Arial" w:hAnsi="Arial" w:cs="Arial"/>
        </w:rPr>
      </w:pPr>
    </w:p>
    <w:p w:rsidR="00D530B6" w:rsidRDefault="002D432E" w:rsidP="00C31D20">
      <w:pPr>
        <w:pStyle w:val="Ttulo2"/>
        <w:spacing w:before="0"/>
        <w:contextualSpacing/>
        <w:jc w:val="both"/>
        <w:rPr>
          <w:rFonts w:ascii="Arial" w:hAnsi="Arial" w:cs="Arial"/>
          <w:color w:val="000000" w:themeColor="text1"/>
          <w:sz w:val="24"/>
          <w:szCs w:val="24"/>
        </w:rPr>
      </w:pPr>
      <w:r w:rsidRPr="00197AF3">
        <w:rPr>
          <w:rFonts w:ascii="Arial" w:hAnsi="Arial" w:cs="Arial"/>
          <w:b/>
          <w:bCs/>
          <w:color w:val="000000" w:themeColor="text1"/>
          <w:sz w:val="24"/>
          <w:szCs w:val="24"/>
        </w:rPr>
        <w:t>Tendencia Diaria</w:t>
      </w:r>
      <w:r w:rsidR="00D530B6" w:rsidRPr="00197AF3">
        <w:rPr>
          <w:rFonts w:ascii="Arial" w:hAnsi="Arial" w:cs="Arial"/>
          <w:b/>
          <w:bCs/>
          <w:color w:val="000000" w:themeColor="text1"/>
          <w:sz w:val="24"/>
          <w:szCs w:val="24"/>
        </w:rPr>
        <w:t xml:space="preserve"> B:</w:t>
      </w:r>
      <w:r w:rsidR="00D530B6" w:rsidRPr="00197AF3">
        <w:rPr>
          <w:rFonts w:ascii="Arial" w:hAnsi="Arial" w:cs="Arial"/>
          <w:color w:val="000000" w:themeColor="text1"/>
          <w:sz w:val="24"/>
          <w:szCs w:val="24"/>
        </w:rPr>
        <w:t> </w:t>
      </w:r>
      <w:r w:rsidR="00F035B7" w:rsidRPr="00197AF3">
        <w:rPr>
          <w:rFonts w:ascii="Arial" w:hAnsi="Arial" w:cs="Arial"/>
          <w:color w:val="000000" w:themeColor="text1"/>
          <w:sz w:val="24"/>
          <w:szCs w:val="24"/>
        </w:rPr>
        <w:t>Corresponde al coeficiente de la pendiente que resulta de una línea de regresión por mínimos cuadrados ordinarios para los datos disponibles de los últimos sesenta (60) días calendario del logaritmo natural del precio ponderado de paridad diario del ACPM – PPPt, referenciado al mercado del Golfo de los Estados Unidos de América, con respecto .al tiempo medido en días utilizando la siguiente ecuación:</w:t>
      </w:r>
    </w:p>
    <w:p w:rsidR="002D432E" w:rsidRPr="002D432E" w:rsidRDefault="002D432E" w:rsidP="00C31D20">
      <w:pPr>
        <w:contextualSpacing/>
      </w:pPr>
    </w:p>
    <w:p w:rsidR="00F035B7" w:rsidRPr="00197AF3" w:rsidRDefault="00F035B7" w:rsidP="00C31D20">
      <w:pPr>
        <w:pStyle w:val="unico"/>
        <w:spacing w:before="0" w:beforeAutospacing="0" w:after="0" w:afterAutospacing="0"/>
        <w:contextualSpacing/>
        <w:jc w:val="center"/>
        <w:rPr>
          <w:rFonts w:ascii="Arial" w:hAnsi="Arial" w:cs="Arial"/>
          <w:b/>
          <w:bCs/>
          <w:color w:val="000000" w:themeColor="text1"/>
        </w:rPr>
      </w:pPr>
      <w:r w:rsidRPr="00197AF3">
        <w:rPr>
          <w:rFonts w:ascii="Arial" w:hAnsi="Arial" w:cs="Arial"/>
          <w:b/>
          <w:bCs/>
          <w:color w:val="000000" w:themeColor="text1"/>
        </w:rPr>
        <w:t>Ln PPP</w:t>
      </w:r>
      <w:r w:rsidRPr="00197AF3">
        <w:rPr>
          <w:rFonts w:ascii="Arial" w:hAnsi="Arial" w:cs="Arial"/>
          <w:b/>
          <w:bCs/>
          <w:color w:val="000000" w:themeColor="text1"/>
          <w:vertAlign w:val="subscript"/>
        </w:rPr>
        <w:t>t,x</w:t>
      </w:r>
      <w:r w:rsidRPr="00197AF3">
        <w:rPr>
          <w:rFonts w:ascii="Arial" w:hAnsi="Arial" w:cs="Arial"/>
          <w:b/>
          <w:bCs/>
          <w:color w:val="000000" w:themeColor="text1"/>
        </w:rPr>
        <w:t> = a + bt</w:t>
      </w:r>
    </w:p>
    <w:p w:rsidR="002D432E" w:rsidRPr="00197AF3" w:rsidRDefault="002D432E" w:rsidP="00C31D20">
      <w:pPr>
        <w:pStyle w:val="unico"/>
        <w:spacing w:before="180" w:beforeAutospacing="0" w:after="0" w:afterAutospacing="0"/>
        <w:contextualSpacing/>
        <w:jc w:val="both"/>
        <w:rPr>
          <w:rFonts w:ascii="Arial" w:hAnsi="Arial" w:cs="Arial"/>
          <w:color w:val="000000" w:themeColor="text1"/>
        </w:rPr>
      </w:pPr>
      <w:r w:rsidRPr="00197AF3">
        <w:rPr>
          <w:rFonts w:ascii="Arial" w:hAnsi="Arial" w:cs="Arial"/>
          <w:color w:val="000000" w:themeColor="text1"/>
        </w:rPr>
        <w:lastRenderedPageBreak/>
        <w:t>Dónde</w:t>
      </w:r>
      <w:r w:rsidR="00F035B7" w:rsidRPr="00197AF3">
        <w:rPr>
          <w:rFonts w:ascii="Arial" w:hAnsi="Arial" w:cs="Arial"/>
          <w:color w:val="000000" w:themeColor="text1"/>
        </w:rPr>
        <w:t>:</w:t>
      </w:r>
    </w:p>
    <w:p w:rsidR="00F035B7" w:rsidRPr="00197AF3" w:rsidRDefault="00F035B7" w:rsidP="00C31D20">
      <w:pPr>
        <w:pStyle w:val="Ttulo2"/>
        <w:spacing w:before="0"/>
        <w:contextualSpacing/>
        <w:jc w:val="both"/>
        <w:rPr>
          <w:rFonts w:ascii="Arial" w:hAnsi="Arial" w:cs="Arial"/>
          <w:b/>
          <w:bCs/>
          <w:color w:val="000000" w:themeColor="text1"/>
          <w:sz w:val="24"/>
          <w:szCs w:val="24"/>
        </w:rPr>
      </w:pPr>
      <w:r w:rsidRPr="00197AF3">
        <w:rPr>
          <w:rFonts w:ascii="Arial" w:hAnsi="Arial" w:cs="Arial"/>
          <w:b/>
          <w:bCs/>
          <w:color w:val="000000" w:themeColor="text1"/>
          <w:sz w:val="24"/>
          <w:szCs w:val="24"/>
        </w:rPr>
        <w:t>L</w:t>
      </w:r>
      <w:r w:rsidR="00D530B6" w:rsidRPr="00197AF3">
        <w:rPr>
          <w:rFonts w:ascii="Arial" w:hAnsi="Arial" w:cs="Arial"/>
          <w:b/>
          <w:bCs/>
          <w:color w:val="000000" w:themeColor="text1"/>
          <w:sz w:val="24"/>
          <w:szCs w:val="24"/>
        </w:rPr>
        <w:t>N</w:t>
      </w:r>
      <w:r w:rsidRPr="00197AF3">
        <w:rPr>
          <w:rFonts w:ascii="Arial" w:hAnsi="Arial" w:cs="Arial"/>
          <w:b/>
          <w:bCs/>
          <w:color w:val="000000" w:themeColor="text1"/>
          <w:sz w:val="24"/>
          <w:szCs w:val="24"/>
        </w:rPr>
        <w:t xml:space="preserve"> PPP</w:t>
      </w:r>
      <w:r w:rsidRPr="00197AF3">
        <w:rPr>
          <w:rFonts w:ascii="Arial" w:hAnsi="Arial" w:cs="Arial"/>
          <w:b/>
          <w:bCs/>
          <w:color w:val="000000" w:themeColor="text1"/>
          <w:sz w:val="24"/>
          <w:szCs w:val="24"/>
          <w:vertAlign w:val="subscript"/>
        </w:rPr>
        <w:t>tx</w:t>
      </w:r>
      <w:r w:rsidRPr="00197AF3">
        <w:rPr>
          <w:rFonts w:ascii="Arial" w:hAnsi="Arial" w:cs="Arial"/>
          <w:b/>
          <w:bCs/>
          <w:color w:val="000000" w:themeColor="text1"/>
          <w:sz w:val="24"/>
          <w:szCs w:val="24"/>
        </w:rPr>
        <w:t>: </w:t>
      </w:r>
      <w:r w:rsidRPr="00197AF3">
        <w:rPr>
          <w:rFonts w:ascii="Arial" w:hAnsi="Arial" w:cs="Arial"/>
          <w:color w:val="000000" w:themeColor="text1"/>
          <w:sz w:val="24"/>
          <w:szCs w:val="24"/>
        </w:rPr>
        <w:t>Corresponde al logaritmo natural del precio ponderado de paridad diario del ACPM - referenciado al mercado del Golfo de los Estados Unidos de América, expresado en pesos por galón.</w:t>
      </w:r>
    </w:p>
    <w:p w:rsidR="00D530B6" w:rsidRPr="00197AF3" w:rsidRDefault="00D530B6" w:rsidP="00C31D20">
      <w:pPr>
        <w:contextualSpacing/>
        <w:rPr>
          <w:rFonts w:ascii="Arial" w:hAnsi="Arial" w:cs="Arial"/>
        </w:rPr>
      </w:pPr>
    </w:p>
    <w:p w:rsidR="00D530B6" w:rsidRPr="00197AF3" w:rsidRDefault="002D432E" w:rsidP="00C31D20">
      <w:pPr>
        <w:pStyle w:val="Ttulo2"/>
        <w:spacing w:before="0"/>
        <w:contextualSpacing/>
        <w:jc w:val="both"/>
        <w:rPr>
          <w:rFonts w:ascii="Arial" w:hAnsi="Arial" w:cs="Arial"/>
        </w:rPr>
      </w:pPr>
      <w:r>
        <w:rPr>
          <w:rFonts w:ascii="Arial" w:hAnsi="Arial" w:cs="Arial"/>
          <w:b/>
          <w:bCs/>
          <w:color w:val="000000" w:themeColor="text1"/>
          <w:sz w:val="24"/>
          <w:szCs w:val="24"/>
        </w:rPr>
        <w:t>a</w:t>
      </w:r>
      <w:r w:rsidR="00F035B7" w:rsidRPr="00197AF3">
        <w:rPr>
          <w:rFonts w:ascii="Arial" w:hAnsi="Arial" w:cs="Arial"/>
          <w:b/>
          <w:bCs/>
          <w:color w:val="000000" w:themeColor="text1"/>
          <w:sz w:val="24"/>
          <w:szCs w:val="24"/>
        </w:rPr>
        <w:t>:</w:t>
      </w:r>
      <w:r w:rsidR="00F035B7" w:rsidRPr="00197AF3">
        <w:rPr>
          <w:rFonts w:ascii="Arial" w:hAnsi="Arial" w:cs="Arial"/>
          <w:color w:val="000000" w:themeColor="text1"/>
          <w:sz w:val="24"/>
          <w:szCs w:val="24"/>
        </w:rPr>
        <w:t> Corresponde al valor del intercepto de la señalada ecuación.</w:t>
      </w:r>
    </w:p>
    <w:p w:rsidR="00D530B6" w:rsidRPr="002D432E" w:rsidRDefault="002D432E" w:rsidP="00C31D20">
      <w:pPr>
        <w:pStyle w:val="Ttulo2"/>
        <w:spacing w:before="0"/>
        <w:contextualSpacing/>
        <w:jc w:val="both"/>
        <w:rPr>
          <w:rFonts w:ascii="Arial" w:hAnsi="Arial" w:cs="Arial"/>
          <w:color w:val="000000" w:themeColor="text1"/>
          <w:sz w:val="24"/>
          <w:szCs w:val="24"/>
        </w:rPr>
      </w:pPr>
      <w:r>
        <w:rPr>
          <w:rFonts w:ascii="Arial" w:hAnsi="Arial" w:cs="Arial"/>
          <w:b/>
          <w:bCs/>
          <w:color w:val="000000" w:themeColor="text1"/>
          <w:sz w:val="24"/>
          <w:szCs w:val="24"/>
        </w:rPr>
        <w:t>b</w:t>
      </w:r>
      <w:r w:rsidR="00F035B7" w:rsidRPr="00197AF3">
        <w:rPr>
          <w:rFonts w:ascii="Arial" w:hAnsi="Arial" w:cs="Arial"/>
          <w:b/>
          <w:bCs/>
          <w:color w:val="000000" w:themeColor="text1"/>
          <w:sz w:val="24"/>
          <w:szCs w:val="24"/>
        </w:rPr>
        <w:t>:</w:t>
      </w:r>
      <w:r w:rsidR="00F035B7" w:rsidRPr="00197AF3">
        <w:rPr>
          <w:rFonts w:ascii="Arial" w:hAnsi="Arial" w:cs="Arial"/>
          <w:color w:val="000000" w:themeColor="text1"/>
          <w:sz w:val="24"/>
          <w:szCs w:val="24"/>
        </w:rPr>
        <w:t> Corresponde al coeficiente de pendiente o tendencia diaria. Indica cuál es, en promedio, el camb</w:t>
      </w:r>
      <w:r>
        <w:rPr>
          <w:rFonts w:ascii="Arial" w:hAnsi="Arial" w:cs="Arial"/>
          <w:color w:val="000000" w:themeColor="text1"/>
          <w:sz w:val="24"/>
          <w:szCs w:val="24"/>
        </w:rPr>
        <w:t>io porcentual diario en PPPt,x.</w:t>
      </w:r>
    </w:p>
    <w:p w:rsidR="00F035B7" w:rsidRPr="00197AF3" w:rsidRDefault="00F035B7" w:rsidP="00C31D20">
      <w:pPr>
        <w:pStyle w:val="Ttulo2"/>
        <w:spacing w:before="0"/>
        <w:contextualSpacing/>
        <w:jc w:val="both"/>
        <w:rPr>
          <w:rFonts w:ascii="Arial" w:hAnsi="Arial" w:cs="Arial"/>
          <w:b/>
          <w:bCs/>
          <w:color w:val="000000" w:themeColor="text1"/>
          <w:sz w:val="24"/>
          <w:szCs w:val="24"/>
        </w:rPr>
      </w:pPr>
      <w:r w:rsidRPr="00197AF3">
        <w:rPr>
          <w:rFonts w:ascii="Arial" w:hAnsi="Arial" w:cs="Arial"/>
          <w:b/>
          <w:bCs/>
          <w:color w:val="000000" w:themeColor="text1"/>
          <w:sz w:val="24"/>
          <w:szCs w:val="24"/>
        </w:rPr>
        <w:t>t:</w:t>
      </w:r>
      <w:r w:rsidRPr="00197AF3">
        <w:rPr>
          <w:rFonts w:ascii="Arial" w:hAnsi="Arial" w:cs="Arial"/>
          <w:color w:val="000000" w:themeColor="text1"/>
          <w:sz w:val="24"/>
          <w:szCs w:val="24"/>
        </w:rPr>
        <w:t> Corresponde al tiempo medido en días.</w:t>
      </w:r>
    </w:p>
    <w:p w:rsidR="00D530B6" w:rsidRPr="00197AF3" w:rsidRDefault="00D530B6" w:rsidP="00C31D20">
      <w:pPr>
        <w:contextualSpacing/>
        <w:rPr>
          <w:rFonts w:ascii="Arial" w:hAnsi="Arial" w:cs="Arial"/>
        </w:rPr>
      </w:pPr>
    </w:p>
    <w:p w:rsidR="00F035B7" w:rsidRPr="00197AF3" w:rsidRDefault="002D432E" w:rsidP="00C31D20">
      <w:pPr>
        <w:pStyle w:val="Ttulo2"/>
        <w:spacing w:before="0"/>
        <w:contextualSpacing/>
        <w:jc w:val="both"/>
        <w:rPr>
          <w:rFonts w:ascii="Arial" w:hAnsi="Arial" w:cs="Arial"/>
          <w:color w:val="000000" w:themeColor="text1"/>
          <w:sz w:val="24"/>
          <w:szCs w:val="24"/>
        </w:rPr>
      </w:pPr>
      <w:r w:rsidRPr="00197AF3">
        <w:rPr>
          <w:rFonts w:ascii="Arial" w:hAnsi="Arial" w:cs="Arial"/>
          <w:b/>
          <w:bCs/>
          <w:color w:val="000000" w:themeColor="text1"/>
          <w:sz w:val="24"/>
          <w:szCs w:val="24"/>
        </w:rPr>
        <w:t xml:space="preserve">Tendencia Mensualizada </w:t>
      </w:r>
      <w:r w:rsidR="00D530B6" w:rsidRPr="00197AF3">
        <w:rPr>
          <w:rFonts w:ascii="Arial" w:hAnsi="Arial" w:cs="Arial"/>
          <w:b/>
          <w:bCs/>
          <w:color w:val="000000" w:themeColor="text1"/>
          <w:sz w:val="24"/>
          <w:szCs w:val="24"/>
        </w:rPr>
        <w:t>M:</w:t>
      </w:r>
      <w:r w:rsidR="00F035B7" w:rsidRPr="00197AF3">
        <w:rPr>
          <w:rFonts w:ascii="Arial" w:hAnsi="Arial" w:cs="Arial"/>
          <w:color w:val="000000" w:themeColor="text1"/>
          <w:sz w:val="24"/>
          <w:szCs w:val="24"/>
        </w:rPr>
        <w:t> Corresponde al valor mensualizado del coeficiente de pendiente b y se calculará de la siguiente manera:</w:t>
      </w:r>
    </w:p>
    <w:p w:rsidR="00D530B6" w:rsidRPr="00197AF3" w:rsidRDefault="00D530B6" w:rsidP="00C31D20">
      <w:pPr>
        <w:contextualSpacing/>
        <w:rPr>
          <w:rFonts w:ascii="Arial" w:hAnsi="Arial" w:cs="Arial"/>
        </w:rPr>
      </w:pPr>
    </w:p>
    <w:p w:rsidR="00F035B7" w:rsidRPr="00197AF3" w:rsidRDefault="00F035B7" w:rsidP="00C31D20">
      <w:pPr>
        <w:pStyle w:val="unico"/>
        <w:spacing w:before="0" w:beforeAutospacing="0" w:after="0" w:afterAutospacing="0"/>
        <w:contextualSpacing/>
        <w:jc w:val="center"/>
        <w:rPr>
          <w:rFonts w:ascii="Arial" w:hAnsi="Arial" w:cs="Arial"/>
          <w:b/>
          <w:bCs/>
          <w:color w:val="000000" w:themeColor="text1"/>
        </w:rPr>
      </w:pPr>
      <w:r w:rsidRPr="00197AF3">
        <w:rPr>
          <w:rFonts w:ascii="Arial" w:hAnsi="Arial" w:cs="Arial"/>
          <w:b/>
          <w:bCs/>
          <w:color w:val="000000" w:themeColor="text1"/>
        </w:rPr>
        <w:t>m = (1+b)</w:t>
      </w:r>
      <w:r w:rsidRPr="00197AF3">
        <w:rPr>
          <w:rFonts w:ascii="Arial" w:hAnsi="Arial" w:cs="Arial"/>
          <w:b/>
          <w:bCs/>
          <w:color w:val="000000" w:themeColor="text1"/>
          <w:vertAlign w:val="superscript"/>
        </w:rPr>
        <w:t>n</w:t>
      </w:r>
      <w:r w:rsidRPr="00197AF3">
        <w:rPr>
          <w:rFonts w:ascii="Arial" w:hAnsi="Arial" w:cs="Arial"/>
          <w:b/>
          <w:bCs/>
          <w:color w:val="000000" w:themeColor="text1"/>
        </w:rPr>
        <w:t> -1</w:t>
      </w:r>
    </w:p>
    <w:p w:rsidR="00D530B6" w:rsidRPr="00197AF3" w:rsidRDefault="00F035B7" w:rsidP="00C31D20">
      <w:pPr>
        <w:pStyle w:val="unico"/>
        <w:spacing w:before="180" w:beforeAutospacing="0" w:after="0" w:afterAutospacing="0"/>
        <w:contextualSpacing/>
        <w:jc w:val="both"/>
        <w:rPr>
          <w:rFonts w:ascii="Arial" w:hAnsi="Arial" w:cs="Arial"/>
          <w:color w:val="000000" w:themeColor="text1"/>
        </w:rPr>
      </w:pPr>
      <w:r w:rsidRPr="00197AF3">
        <w:rPr>
          <w:rFonts w:ascii="Arial" w:hAnsi="Arial" w:cs="Arial"/>
          <w:color w:val="000000" w:themeColor="text1"/>
        </w:rPr>
        <w:t>Donde:</w:t>
      </w:r>
    </w:p>
    <w:p w:rsidR="00F035B7" w:rsidRPr="00197AF3" w:rsidRDefault="00F035B7" w:rsidP="00C31D20">
      <w:pPr>
        <w:pStyle w:val="Ttulo2"/>
        <w:spacing w:before="0"/>
        <w:contextualSpacing/>
        <w:jc w:val="both"/>
        <w:rPr>
          <w:rFonts w:ascii="Arial" w:hAnsi="Arial" w:cs="Arial"/>
          <w:color w:val="000000" w:themeColor="text1"/>
          <w:sz w:val="24"/>
          <w:szCs w:val="24"/>
        </w:rPr>
      </w:pPr>
      <w:r w:rsidRPr="00197AF3">
        <w:rPr>
          <w:rFonts w:ascii="Arial" w:hAnsi="Arial" w:cs="Arial"/>
          <w:b/>
          <w:bCs/>
          <w:color w:val="000000" w:themeColor="text1"/>
          <w:sz w:val="24"/>
          <w:szCs w:val="24"/>
        </w:rPr>
        <w:t>n:</w:t>
      </w:r>
      <w:r w:rsidRPr="00197AF3">
        <w:rPr>
          <w:rFonts w:ascii="Arial" w:hAnsi="Arial" w:cs="Arial"/>
          <w:color w:val="000000" w:themeColor="text1"/>
          <w:sz w:val="24"/>
          <w:szCs w:val="24"/>
        </w:rPr>
        <w:t> Corresponde al número de días hábiles con datos disponibles del mes en el cual se está realizando el cálculo.</w:t>
      </w:r>
    </w:p>
    <w:p w:rsidR="00F035B7" w:rsidRPr="00197AF3" w:rsidRDefault="00F035B7" w:rsidP="00C31D20">
      <w:pPr>
        <w:pStyle w:val="unico"/>
        <w:spacing w:before="180" w:beforeAutospacing="0" w:after="0" w:afterAutospacing="0"/>
        <w:contextualSpacing/>
        <w:jc w:val="both"/>
        <w:rPr>
          <w:rFonts w:ascii="Arial" w:hAnsi="Arial" w:cs="Arial"/>
          <w:color w:val="000000" w:themeColor="text1"/>
        </w:rPr>
      </w:pPr>
      <w:r w:rsidRPr="00197AF3">
        <w:rPr>
          <w:rFonts w:ascii="Arial" w:hAnsi="Arial" w:cs="Arial"/>
          <w:color w:val="000000" w:themeColor="text1"/>
        </w:rPr>
        <w:t>Para efectos del cálculo del ingreso al productor para un determinado mes, la siguiente tabla señala los escenarios aplicables, según el valor del diferencial de compensación o participación en la fecha de cálculo, según corresponda, y de la tendencia mensualizada m, calculados de acuerdo con las definiciones cont</w:t>
      </w:r>
      <w:r w:rsidR="006A6F4C">
        <w:rPr>
          <w:rFonts w:ascii="Arial" w:hAnsi="Arial" w:cs="Arial"/>
          <w:color w:val="000000" w:themeColor="text1"/>
        </w:rPr>
        <w:t>enidas en la presente ley</w:t>
      </w:r>
      <w:r w:rsidRPr="00197AF3">
        <w:rPr>
          <w:rFonts w:ascii="Arial" w:hAnsi="Arial" w:cs="Arial"/>
          <w:color w:val="000000" w:themeColor="text1"/>
        </w:rPr>
        <w:t>:</w:t>
      </w:r>
    </w:p>
    <w:p w:rsidR="008230BC" w:rsidRPr="00197AF3" w:rsidRDefault="008230BC" w:rsidP="00C31D20">
      <w:pPr>
        <w:shd w:val="clear" w:color="auto" w:fill="FFFFFF"/>
        <w:contextualSpacing/>
        <w:jc w:val="both"/>
        <w:rPr>
          <w:rFonts w:ascii="Arial" w:hAnsi="Arial" w:cs="Arial"/>
          <w:color w:val="000000" w:themeColor="text1"/>
        </w:rPr>
      </w:pPr>
    </w:p>
    <w:tbl>
      <w:tblPr>
        <w:tblW w:w="4000" w:type="pct"/>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56"/>
        <w:gridCol w:w="2300"/>
        <w:gridCol w:w="2386"/>
      </w:tblGrid>
      <w:tr w:rsidR="00F035B7" w:rsidRPr="006261F6" w:rsidTr="00F035B7">
        <w:trPr>
          <w:tblCellSpacing w:w="15" w:type="dxa"/>
          <w:jc w:val="center"/>
        </w:trPr>
        <w:tc>
          <w:tcPr>
            <w:tcW w:w="1700" w:type="pct"/>
            <w:tcBorders>
              <w:top w:val="outset" w:sz="6" w:space="0" w:color="auto"/>
              <w:left w:val="outset" w:sz="6" w:space="0" w:color="auto"/>
              <w:bottom w:val="outset" w:sz="6" w:space="0" w:color="auto"/>
              <w:right w:val="outset" w:sz="6" w:space="0" w:color="auto"/>
            </w:tcBorders>
            <w:vAlign w:val="center"/>
            <w:hideMark/>
          </w:tcPr>
          <w:p w:rsidR="00F035B7" w:rsidRPr="006261F6" w:rsidRDefault="00F035B7" w:rsidP="00C31D20">
            <w:pPr>
              <w:contextualSpacing/>
              <w:jc w:val="both"/>
              <w:rPr>
                <w:rFonts w:ascii="Arial" w:hAnsi="Arial" w:cs="Arial"/>
                <w:color w:val="000000" w:themeColor="text1"/>
                <w:sz w:val="16"/>
                <w:szCs w:val="16"/>
              </w:rPr>
            </w:pPr>
            <w:r w:rsidRPr="006261F6">
              <w:rPr>
                <w:rFonts w:ascii="Arial" w:hAnsi="Arial" w:cs="Arial"/>
                <w:color w:val="000000" w:themeColor="text1"/>
                <w:sz w:val="16"/>
                <w:szCs w:val="16"/>
              </w:rPr>
              <w:t> </w:t>
            </w:r>
          </w:p>
        </w:tc>
        <w:tc>
          <w:tcPr>
            <w:tcW w:w="1600" w:type="pct"/>
            <w:tcBorders>
              <w:top w:val="outset" w:sz="6" w:space="0" w:color="auto"/>
              <w:left w:val="outset" w:sz="6" w:space="0" w:color="auto"/>
              <w:bottom w:val="outset" w:sz="6" w:space="0" w:color="auto"/>
              <w:right w:val="outset" w:sz="6" w:space="0" w:color="auto"/>
            </w:tcBorders>
            <w:vAlign w:val="center"/>
            <w:hideMark/>
          </w:tcPr>
          <w:p w:rsidR="00F035B7" w:rsidRPr="006261F6" w:rsidRDefault="00F035B7" w:rsidP="00C31D20">
            <w:pPr>
              <w:contextualSpacing/>
              <w:jc w:val="center"/>
              <w:rPr>
                <w:rFonts w:ascii="Arial" w:hAnsi="Arial" w:cs="Arial"/>
                <w:color w:val="000000" w:themeColor="text1"/>
                <w:sz w:val="16"/>
                <w:szCs w:val="16"/>
              </w:rPr>
            </w:pPr>
            <w:r w:rsidRPr="006261F6">
              <w:rPr>
                <w:rFonts w:ascii="Arial" w:hAnsi="Arial" w:cs="Arial"/>
                <w:b/>
                <w:bCs/>
                <w:color w:val="000000" w:themeColor="text1"/>
                <w:sz w:val="16"/>
                <w:szCs w:val="16"/>
              </w:rPr>
              <w:t>Diferencial positivo en la fecha de cálculo</w:t>
            </w:r>
          </w:p>
        </w:tc>
        <w:tc>
          <w:tcPr>
            <w:tcW w:w="1650" w:type="pct"/>
            <w:tcBorders>
              <w:top w:val="outset" w:sz="6" w:space="0" w:color="auto"/>
              <w:left w:val="outset" w:sz="6" w:space="0" w:color="auto"/>
              <w:bottom w:val="outset" w:sz="6" w:space="0" w:color="auto"/>
              <w:right w:val="outset" w:sz="6" w:space="0" w:color="auto"/>
            </w:tcBorders>
            <w:vAlign w:val="center"/>
            <w:hideMark/>
          </w:tcPr>
          <w:p w:rsidR="00F035B7" w:rsidRPr="006261F6" w:rsidRDefault="00F035B7" w:rsidP="00C31D20">
            <w:pPr>
              <w:contextualSpacing/>
              <w:jc w:val="center"/>
              <w:rPr>
                <w:rFonts w:ascii="Arial" w:hAnsi="Arial" w:cs="Arial"/>
                <w:color w:val="000000" w:themeColor="text1"/>
                <w:sz w:val="16"/>
                <w:szCs w:val="16"/>
              </w:rPr>
            </w:pPr>
            <w:r w:rsidRPr="006261F6">
              <w:rPr>
                <w:rFonts w:ascii="Arial" w:hAnsi="Arial" w:cs="Arial"/>
                <w:b/>
                <w:bCs/>
                <w:color w:val="000000" w:themeColor="text1"/>
                <w:sz w:val="16"/>
                <w:szCs w:val="16"/>
              </w:rPr>
              <w:t>Diferencial negativo en la fecha de cálculo</w:t>
            </w:r>
          </w:p>
        </w:tc>
      </w:tr>
      <w:tr w:rsidR="00F035B7" w:rsidRPr="006261F6" w:rsidTr="00F035B7">
        <w:trPr>
          <w:tblCellSpacing w:w="15" w:type="dxa"/>
          <w:jc w:val="center"/>
        </w:trPr>
        <w:tc>
          <w:tcPr>
            <w:tcW w:w="1700" w:type="pct"/>
            <w:tcBorders>
              <w:top w:val="outset" w:sz="6" w:space="0" w:color="auto"/>
              <w:left w:val="outset" w:sz="6" w:space="0" w:color="auto"/>
              <w:bottom w:val="outset" w:sz="6" w:space="0" w:color="auto"/>
              <w:right w:val="outset" w:sz="6" w:space="0" w:color="auto"/>
            </w:tcBorders>
            <w:vAlign w:val="center"/>
            <w:hideMark/>
          </w:tcPr>
          <w:p w:rsidR="00F035B7" w:rsidRPr="006261F6" w:rsidRDefault="00F035B7" w:rsidP="00C31D20">
            <w:pPr>
              <w:contextualSpacing/>
              <w:jc w:val="center"/>
              <w:rPr>
                <w:rFonts w:ascii="Arial" w:hAnsi="Arial" w:cs="Arial"/>
                <w:color w:val="000000" w:themeColor="text1"/>
                <w:sz w:val="16"/>
                <w:szCs w:val="16"/>
              </w:rPr>
            </w:pPr>
            <w:r w:rsidRPr="006261F6">
              <w:rPr>
                <w:rFonts w:ascii="Arial" w:hAnsi="Arial" w:cs="Arial"/>
                <w:color w:val="000000" w:themeColor="text1"/>
                <w:sz w:val="16"/>
                <w:szCs w:val="16"/>
              </w:rPr>
              <w:t>Tendencia creciente (m≥0)</w:t>
            </w:r>
          </w:p>
        </w:tc>
        <w:tc>
          <w:tcPr>
            <w:tcW w:w="1600" w:type="pct"/>
            <w:tcBorders>
              <w:top w:val="outset" w:sz="6" w:space="0" w:color="auto"/>
              <w:left w:val="outset" w:sz="6" w:space="0" w:color="auto"/>
              <w:bottom w:val="outset" w:sz="6" w:space="0" w:color="auto"/>
              <w:right w:val="outset" w:sz="6" w:space="0" w:color="auto"/>
            </w:tcBorders>
            <w:vAlign w:val="center"/>
            <w:hideMark/>
          </w:tcPr>
          <w:p w:rsidR="00F035B7" w:rsidRPr="006261F6" w:rsidRDefault="00F035B7" w:rsidP="00C31D20">
            <w:pPr>
              <w:contextualSpacing/>
              <w:jc w:val="center"/>
              <w:rPr>
                <w:rFonts w:ascii="Arial" w:hAnsi="Arial" w:cs="Arial"/>
                <w:color w:val="000000" w:themeColor="text1"/>
                <w:sz w:val="16"/>
                <w:szCs w:val="16"/>
              </w:rPr>
            </w:pPr>
            <w:r w:rsidRPr="006261F6">
              <w:rPr>
                <w:rFonts w:ascii="Arial" w:hAnsi="Arial" w:cs="Arial"/>
                <w:color w:val="000000" w:themeColor="text1"/>
                <w:sz w:val="16"/>
                <w:szCs w:val="16"/>
              </w:rPr>
              <w:t>c=min [m, 2.8%]</w:t>
            </w:r>
          </w:p>
        </w:tc>
        <w:tc>
          <w:tcPr>
            <w:tcW w:w="1650" w:type="pct"/>
            <w:tcBorders>
              <w:top w:val="outset" w:sz="6" w:space="0" w:color="auto"/>
              <w:left w:val="outset" w:sz="6" w:space="0" w:color="auto"/>
              <w:bottom w:val="outset" w:sz="6" w:space="0" w:color="auto"/>
              <w:right w:val="outset" w:sz="6" w:space="0" w:color="auto"/>
            </w:tcBorders>
            <w:vAlign w:val="center"/>
            <w:hideMark/>
          </w:tcPr>
          <w:p w:rsidR="00F035B7" w:rsidRPr="006261F6" w:rsidRDefault="00F035B7" w:rsidP="00C31D20">
            <w:pPr>
              <w:contextualSpacing/>
              <w:jc w:val="center"/>
              <w:rPr>
                <w:rFonts w:ascii="Arial" w:hAnsi="Arial" w:cs="Arial"/>
                <w:color w:val="000000" w:themeColor="text1"/>
                <w:sz w:val="16"/>
                <w:szCs w:val="16"/>
              </w:rPr>
            </w:pPr>
            <w:r w:rsidRPr="006261F6">
              <w:rPr>
                <w:rFonts w:ascii="Arial" w:hAnsi="Arial" w:cs="Arial"/>
                <w:color w:val="000000" w:themeColor="text1"/>
                <w:sz w:val="16"/>
                <w:szCs w:val="16"/>
              </w:rPr>
              <w:t>c=0</w:t>
            </w:r>
          </w:p>
        </w:tc>
      </w:tr>
      <w:tr w:rsidR="00F035B7" w:rsidRPr="006261F6" w:rsidTr="00F035B7">
        <w:trPr>
          <w:tblCellSpacing w:w="15" w:type="dxa"/>
          <w:jc w:val="center"/>
        </w:trPr>
        <w:tc>
          <w:tcPr>
            <w:tcW w:w="1700" w:type="pct"/>
            <w:tcBorders>
              <w:top w:val="outset" w:sz="6" w:space="0" w:color="auto"/>
              <w:left w:val="outset" w:sz="6" w:space="0" w:color="auto"/>
              <w:bottom w:val="outset" w:sz="6" w:space="0" w:color="auto"/>
              <w:right w:val="outset" w:sz="6" w:space="0" w:color="auto"/>
            </w:tcBorders>
            <w:vAlign w:val="center"/>
            <w:hideMark/>
          </w:tcPr>
          <w:p w:rsidR="00F035B7" w:rsidRPr="006261F6" w:rsidRDefault="00F035B7" w:rsidP="00C31D20">
            <w:pPr>
              <w:contextualSpacing/>
              <w:jc w:val="center"/>
              <w:rPr>
                <w:rFonts w:ascii="Arial" w:hAnsi="Arial" w:cs="Arial"/>
                <w:color w:val="000000" w:themeColor="text1"/>
                <w:sz w:val="16"/>
                <w:szCs w:val="16"/>
              </w:rPr>
            </w:pPr>
            <w:r w:rsidRPr="006261F6">
              <w:rPr>
                <w:rFonts w:ascii="Arial" w:hAnsi="Arial" w:cs="Arial"/>
                <w:color w:val="000000" w:themeColor="text1"/>
                <w:sz w:val="16"/>
                <w:szCs w:val="16"/>
              </w:rPr>
              <w:t>Tendencia decreciente (m&lt;0)</w:t>
            </w:r>
          </w:p>
        </w:tc>
        <w:tc>
          <w:tcPr>
            <w:tcW w:w="1600" w:type="pct"/>
            <w:tcBorders>
              <w:top w:val="outset" w:sz="6" w:space="0" w:color="auto"/>
              <w:left w:val="outset" w:sz="6" w:space="0" w:color="auto"/>
              <w:bottom w:val="outset" w:sz="6" w:space="0" w:color="auto"/>
              <w:right w:val="outset" w:sz="6" w:space="0" w:color="auto"/>
            </w:tcBorders>
            <w:vAlign w:val="center"/>
            <w:hideMark/>
          </w:tcPr>
          <w:p w:rsidR="00F035B7" w:rsidRPr="006261F6" w:rsidRDefault="00F035B7" w:rsidP="00C31D20">
            <w:pPr>
              <w:contextualSpacing/>
              <w:jc w:val="center"/>
              <w:rPr>
                <w:rFonts w:ascii="Arial" w:hAnsi="Arial" w:cs="Arial"/>
                <w:color w:val="000000" w:themeColor="text1"/>
                <w:sz w:val="16"/>
                <w:szCs w:val="16"/>
              </w:rPr>
            </w:pPr>
            <w:r w:rsidRPr="006261F6">
              <w:rPr>
                <w:rFonts w:ascii="Arial" w:hAnsi="Arial" w:cs="Arial"/>
                <w:color w:val="000000" w:themeColor="text1"/>
                <w:sz w:val="16"/>
                <w:szCs w:val="16"/>
              </w:rPr>
              <w:t>c=0</w:t>
            </w:r>
          </w:p>
        </w:tc>
        <w:tc>
          <w:tcPr>
            <w:tcW w:w="1650" w:type="pct"/>
            <w:tcBorders>
              <w:top w:val="outset" w:sz="6" w:space="0" w:color="auto"/>
              <w:left w:val="outset" w:sz="6" w:space="0" w:color="auto"/>
              <w:bottom w:val="outset" w:sz="6" w:space="0" w:color="auto"/>
              <w:right w:val="outset" w:sz="6" w:space="0" w:color="auto"/>
            </w:tcBorders>
            <w:vAlign w:val="center"/>
            <w:hideMark/>
          </w:tcPr>
          <w:p w:rsidR="00F035B7" w:rsidRPr="006261F6" w:rsidRDefault="00F035B7" w:rsidP="00C31D20">
            <w:pPr>
              <w:contextualSpacing/>
              <w:jc w:val="center"/>
              <w:rPr>
                <w:rFonts w:ascii="Arial" w:hAnsi="Arial" w:cs="Arial"/>
                <w:color w:val="000000" w:themeColor="text1"/>
                <w:sz w:val="16"/>
                <w:szCs w:val="16"/>
              </w:rPr>
            </w:pPr>
            <w:r w:rsidRPr="006261F6">
              <w:rPr>
                <w:rFonts w:ascii="Arial" w:hAnsi="Arial" w:cs="Arial"/>
                <w:color w:val="000000" w:themeColor="text1"/>
                <w:sz w:val="16"/>
                <w:szCs w:val="16"/>
              </w:rPr>
              <w:t>c=máx. [m, 2.8%]</w:t>
            </w:r>
          </w:p>
        </w:tc>
      </w:tr>
    </w:tbl>
    <w:p w:rsidR="00F06A1C" w:rsidRPr="00197AF3" w:rsidRDefault="00F06A1C" w:rsidP="00C31D20">
      <w:pPr>
        <w:contextualSpacing/>
        <w:jc w:val="both"/>
        <w:rPr>
          <w:rFonts w:ascii="Arial" w:hAnsi="Arial" w:cs="Arial"/>
          <w:b/>
          <w:bCs/>
          <w:color w:val="000000" w:themeColor="text1"/>
        </w:rPr>
      </w:pPr>
    </w:p>
    <w:p w:rsidR="002D432E" w:rsidRPr="00197AF3" w:rsidRDefault="00F035B7" w:rsidP="00C31D20">
      <w:pPr>
        <w:contextualSpacing/>
        <w:jc w:val="both"/>
        <w:rPr>
          <w:rFonts w:ascii="Arial" w:hAnsi="Arial" w:cs="Arial"/>
          <w:color w:val="000000" w:themeColor="text1"/>
        </w:rPr>
      </w:pPr>
      <w:r w:rsidRPr="00197AF3">
        <w:rPr>
          <w:rFonts w:ascii="Arial" w:hAnsi="Arial" w:cs="Arial"/>
          <w:b/>
          <w:bCs/>
          <w:color w:val="000000" w:themeColor="text1"/>
        </w:rPr>
        <w:t>Paragrafo 1°.</w:t>
      </w:r>
      <w:r w:rsidR="002D432E">
        <w:rPr>
          <w:rFonts w:ascii="Arial" w:hAnsi="Arial" w:cs="Arial"/>
          <w:color w:val="000000" w:themeColor="text1"/>
        </w:rPr>
        <w:t> </w:t>
      </w:r>
      <w:r w:rsidR="002D432E" w:rsidRPr="00197AF3">
        <w:rPr>
          <w:rFonts w:ascii="Arial" w:hAnsi="Arial" w:cs="Arial"/>
          <w:color w:val="000000" w:themeColor="text1"/>
        </w:rPr>
        <w:t>Con base en los cálculos realizados para la fecha de cálculo, el Ministerio de Hacienda y Crédito Pú</w:t>
      </w:r>
      <w:r w:rsidR="002D432E">
        <w:rPr>
          <w:rFonts w:ascii="Arial" w:hAnsi="Arial" w:cs="Arial"/>
          <w:color w:val="000000" w:themeColor="text1"/>
        </w:rPr>
        <w:t>blico  con revisión y verificación d</w:t>
      </w:r>
      <w:r w:rsidR="002D432E" w:rsidRPr="00197AF3">
        <w:rPr>
          <w:rFonts w:ascii="Arial" w:hAnsi="Arial" w:cs="Arial"/>
          <w:color w:val="000000" w:themeColor="text1"/>
        </w:rPr>
        <w:t>el Observatorio de Control y Vigilancia de las Finanzas y las Políticas Públicas</w:t>
      </w:r>
      <w:r w:rsidR="002D432E" w:rsidRPr="00197AF3">
        <w:rPr>
          <w:rFonts w:ascii="Arial" w:hAnsi="Arial" w:cs="Arial"/>
          <w:b/>
          <w:bCs/>
          <w:color w:val="000000" w:themeColor="text1"/>
        </w:rPr>
        <w:t xml:space="preserve"> - </w:t>
      </w:r>
      <w:r w:rsidR="002D432E" w:rsidRPr="00197AF3">
        <w:rPr>
          <w:rFonts w:ascii="Arial" w:hAnsi="Arial" w:cs="Arial"/>
          <w:color w:val="000000" w:themeColor="text1"/>
          <w:shd w:val="clear" w:color="auto" w:fill="FFFFFF"/>
        </w:rPr>
        <w:t>Contraloría General de la República</w:t>
      </w:r>
      <w:r w:rsidR="002D432E" w:rsidRPr="00197AF3">
        <w:rPr>
          <w:rFonts w:ascii="Arial" w:hAnsi="Arial" w:cs="Arial"/>
          <w:color w:val="000000" w:themeColor="text1"/>
        </w:rPr>
        <w:t xml:space="preserve">; determinaran, revisaran y verificaran el </w:t>
      </w:r>
      <w:r w:rsidR="002D432E">
        <w:rPr>
          <w:rFonts w:ascii="Arial" w:hAnsi="Arial" w:cs="Arial"/>
          <w:color w:val="000000" w:themeColor="text1"/>
        </w:rPr>
        <w:t xml:space="preserve">cálculo al </w:t>
      </w:r>
      <w:r w:rsidR="002D432E" w:rsidRPr="00197AF3">
        <w:rPr>
          <w:rFonts w:ascii="Arial" w:hAnsi="Arial" w:cs="Arial"/>
          <w:color w:val="000000" w:themeColor="text1"/>
        </w:rPr>
        <w:t>Ingreso al Productor vigente para el siguiente mes de acuerdo con la fórmula señalada a continuación: </w:t>
      </w:r>
    </w:p>
    <w:p w:rsidR="00F035B7" w:rsidRPr="00197AF3" w:rsidRDefault="002D432E" w:rsidP="00C31D20">
      <w:pPr>
        <w:contextualSpacing/>
        <w:jc w:val="both"/>
        <w:rPr>
          <w:rFonts w:ascii="Arial" w:hAnsi="Arial" w:cs="Arial"/>
          <w:color w:val="000000" w:themeColor="text1"/>
        </w:rPr>
      </w:pPr>
      <w:r w:rsidRPr="00197AF3">
        <w:rPr>
          <w:rFonts w:ascii="Arial" w:hAnsi="Arial" w:cs="Arial"/>
          <w:color w:val="000000" w:themeColor="text1"/>
        </w:rPr>
        <w:t>  </w:t>
      </w:r>
      <w:r w:rsidR="00F035B7" w:rsidRPr="00197AF3">
        <w:rPr>
          <w:rFonts w:ascii="Arial" w:hAnsi="Arial" w:cs="Arial"/>
          <w:color w:val="000000" w:themeColor="text1"/>
        </w:rPr>
        <w:t>  </w:t>
      </w:r>
    </w:p>
    <w:p w:rsidR="00F035B7" w:rsidRPr="00197AF3" w:rsidRDefault="00F035B7" w:rsidP="00C31D20">
      <w:pPr>
        <w:contextualSpacing/>
        <w:jc w:val="center"/>
        <w:rPr>
          <w:rFonts w:ascii="Arial" w:hAnsi="Arial" w:cs="Arial"/>
          <w:b/>
          <w:bCs/>
          <w:color w:val="000000" w:themeColor="text1"/>
        </w:rPr>
      </w:pPr>
      <w:r w:rsidRPr="00197AF3">
        <w:rPr>
          <w:rFonts w:ascii="Arial" w:hAnsi="Arial" w:cs="Arial"/>
          <w:b/>
          <w:bCs/>
          <w:color w:val="000000" w:themeColor="text1"/>
        </w:rPr>
        <w:t>IP</w:t>
      </w:r>
      <w:r w:rsidR="00D530B6" w:rsidRPr="00197AF3">
        <w:rPr>
          <w:rFonts w:ascii="Arial" w:hAnsi="Arial" w:cs="Arial"/>
          <w:b/>
          <w:bCs/>
          <w:color w:val="000000" w:themeColor="text1"/>
        </w:rPr>
        <w:t xml:space="preserve"> </w:t>
      </w:r>
      <w:r w:rsidRPr="00197AF3">
        <w:rPr>
          <w:rFonts w:ascii="Arial" w:hAnsi="Arial" w:cs="Arial"/>
          <w:b/>
          <w:bCs/>
          <w:color w:val="000000" w:themeColor="text1"/>
        </w:rPr>
        <w:t>(siguiente mes) = IP</w:t>
      </w:r>
      <w:r w:rsidR="00D530B6" w:rsidRPr="00197AF3">
        <w:rPr>
          <w:rFonts w:ascii="Arial" w:hAnsi="Arial" w:cs="Arial"/>
          <w:b/>
          <w:bCs/>
          <w:color w:val="000000" w:themeColor="text1"/>
        </w:rPr>
        <w:t xml:space="preserve"> </w:t>
      </w:r>
      <w:r w:rsidRPr="00197AF3">
        <w:rPr>
          <w:rFonts w:ascii="Arial" w:hAnsi="Arial" w:cs="Arial"/>
          <w:b/>
          <w:bCs/>
          <w:color w:val="000000" w:themeColor="text1"/>
        </w:rPr>
        <w:t>(vigente) * (1+c)</w:t>
      </w:r>
    </w:p>
    <w:p w:rsidR="00F035B7" w:rsidRPr="00197AF3" w:rsidRDefault="00F035B7" w:rsidP="00C31D20">
      <w:pPr>
        <w:contextualSpacing/>
        <w:jc w:val="both"/>
        <w:rPr>
          <w:rFonts w:ascii="Arial" w:hAnsi="Arial" w:cs="Arial"/>
          <w:color w:val="000000" w:themeColor="text1"/>
        </w:rPr>
      </w:pPr>
    </w:p>
    <w:p w:rsidR="00D6779D" w:rsidRDefault="002D432E" w:rsidP="00C31D20">
      <w:pPr>
        <w:pStyle w:val="NormalWeb"/>
        <w:spacing w:before="0" w:beforeAutospacing="0" w:after="0" w:afterAutospacing="0" w:line="254" w:lineRule="atLeast"/>
        <w:contextualSpacing/>
        <w:jc w:val="both"/>
        <w:rPr>
          <w:rFonts w:ascii="Arial" w:hAnsi="Arial" w:cs="Arial"/>
          <w:color w:val="000000"/>
        </w:rPr>
      </w:pPr>
      <w:r w:rsidRPr="00197AF3">
        <w:rPr>
          <w:rFonts w:ascii="Arial" w:hAnsi="Arial" w:cs="Arial"/>
          <w:b/>
          <w:bCs/>
          <w:color w:val="000000" w:themeColor="text1"/>
        </w:rPr>
        <w:t>Parágrafo 2°.</w:t>
      </w:r>
      <w:r w:rsidRPr="00197AF3">
        <w:rPr>
          <w:rFonts w:ascii="Arial" w:hAnsi="Arial" w:cs="Arial"/>
          <w:color w:val="000000" w:themeColor="text1"/>
        </w:rPr>
        <w:t> Con el fin de establecer política clara y transparente a la estructura del precio de los combustibles, el Ministerio de Hacienda y Crédito Publico y el Observatorio de Control y Vigilancia de las Finanzas y las Políticas Públicas</w:t>
      </w:r>
      <w:r w:rsidRPr="00197AF3">
        <w:rPr>
          <w:rFonts w:ascii="Arial" w:hAnsi="Arial" w:cs="Arial"/>
          <w:b/>
          <w:bCs/>
          <w:color w:val="000000" w:themeColor="text1"/>
        </w:rPr>
        <w:t xml:space="preserve"> - </w:t>
      </w:r>
      <w:r w:rsidRPr="00197AF3">
        <w:rPr>
          <w:rFonts w:ascii="Arial" w:hAnsi="Arial" w:cs="Arial"/>
          <w:color w:val="000000" w:themeColor="text1"/>
          <w:shd w:val="clear" w:color="auto" w:fill="FFFFFF"/>
        </w:rPr>
        <w:lastRenderedPageBreak/>
        <w:t>Contraloría General de la República</w:t>
      </w:r>
      <w:r w:rsidRPr="00197AF3">
        <w:rPr>
          <w:rFonts w:ascii="Arial" w:hAnsi="Arial" w:cs="Arial"/>
          <w:color w:val="000000" w:themeColor="text1"/>
        </w:rPr>
        <w:t xml:space="preserve">, </w:t>
      </w:r>
      <w:r w:rsidRPr="00F828AD">
        <w:rPr>
          <w:rFonts w:ascii="Arial" w:hAnsi="Arial" w:cs="Arial"/>
          <w:color w:val="000000" w:themeColor="text1"/>
        </w:rPr>
        <w:t>publicaran</w:t>
      </w:r>
      <w:r>
        <w:rPr>
          <w:rFonts w:ascii="Arial" w:hAnsi="Arial" w:cs="Arial"/>
          <w:color w:val="000000" w:themeColor="text1"/>
        </w:rPr>
        <w:t xml:space="preserve"> el cálculo de la anterior formula abiertamente en las correspondientes paginas oficiales de las entidades, así como enviaran copia física a la Secretarias Generales de la Cámara de Representantes y el Senado de la Republica</w:t>
      </w:r>
      <w:r w:rsidR="00D6779D">
        <w:rPr>
          <w:rFonts w:ascii="Arial" w:hAnsi="Arial" w:cs="Arial"/>
          <w:color w:val="000000" w:themeColor="text1"/>
        </w:rPr>
        <w:t xml:space="preserve">, </w:t>
      </w:r>
      <w:r w:rsidR="00D6779D">
        <w:rPr>
          <w:rFonts w:ascii="Arial" w:hAnsi="Arial" w:cs="Arial"/>
          <w:color w:val="000000"/>
        </w:rPr>
        <w:t>en un término no mayor a siete (07</w:t>
      </w:r>
      <w:r w:rsidR="00D6779D" w:rsidRPr="00197AF3">
        <w:rPr>
          <w:rFonts w:ascii="Arial" w:hAnsi="Arial" w:cs="Arial"/>
          <w:color w:val="000000"/>
        </w:rPr>
        <w:t xml:space="preserve">) días calendario posteriores al </w:t>
      </w:r>
      <w:r w:rsidR="00D6779D">
        <w:rPr>
          <w:rFonts w:ascii="Arial" w:hAnsi="Arial" w:cs="Arial"/>
          <w:color w:val="000000"/>
        </w:rPr>
        <w:t xml:space="preserve">cálculo mencionado en el presente artículo. </w:t>
      </w:r>
    </w:p>
    <w:p w:rsidR="006A6F4C" w:rsidRDefault="006A6F4C" w:rsidP="00C31D20">
      <w:pPr>
        <w:pStyle w:val="NormalWeb"/>
        <w:spacing w:before="0" w:beforeAutospacing="0" w:after="0" w:afterAutospacing="0" w:line="254" w:lineRule="atLeast"/>
        <w:contextualSpacing/>
        <w:jc w:val="both"/>
        <w:rPr>
          <w:rFonts w:ascii="Arial" w:hAnsi="Arial" w:cs="Arial"/>
          <w:color w:val="000000"/>
        </w:rPr>
      </w:pPr>
    </w:p>
    <w:p w:rsidR="006A6F4C" w:rsidRDefault="006A6F4C" w:rsidP="00C31D20">
      <w:pPr>
        <w:contextualSpacing/>
        <w:jc w:val="both"/>
        <w:rPr>
          <w:rFonts w:ascii="Arial" w:hAnsi="Arial" w:cs="Arial"/>
          <w:color w:val="000000"/>
        </w:rPr>
      </w:pPr>
      <w:r>
        <w:rPr>
          <w:rFonts w:ascii="Arial" w:hAnsi="Arial" w:cs="Arial"/>
          <w:b/>
          <w:bCs/>
          <w:color w:val="000000" w:themeColor="text1"/>
          <w:u w:val="single"/>
        </w:rPr>
        <w:t>Articulo 4.3</w:t>
      </w:r>
      <w:r w:rsidRPr="00197AF3">
        <w:rPr>
          <w:rFonts w:ascii="Arial" w:hAnsi="Arial" w:cs="Arial"/>
          <w:b/>
          <w:bCs/>
          <w:color w:val="000000" w:themeColor="text1"/>
          <w:u w:val="single"/>
        </w:rPr>
        <w:t>º</w:t>
      </w:r>
      <w:r w:rsidRPr="006A6F4C">
        <w:rPr>
          <w:rFonts w:ascii="Arial" w:hAnsi="Arial" w:cs="Arial"/>
          <w:b/>
          <w:bCs/>
          <w:color w:val="000000" w:themeColor="text1"/>
          <w:u w:val="single"/>
        </w:rPr>
        <w:t>.</w:t>
      </w:r>
      <w:r w:rsidRPr="006A6F4C">
        <w:rPr>
          <w:rFonts w:ascii="Arial" w:hAnsi="Arial" w:cs="Arial"/>
          <w:b/>
          <w:color w:val="000000" w:themeColor="text1"/>
          <w:u w:val="single"/>
        </w:rPr>
        <w:t> Valor de Referencia</w:t>
      </w:r>
      <w:r w:rsidRPr="006A6F4C">
        <w:rPr>
          <w:rFonts w:ascii="Arial" w:hAnsi="Arial" w:cs="Arial"/>
          <w:b/>
          <w:bCs/>
          <w:color w:val="000000" w:themeColor="text1"/>
          <w:u w:val="single"/>
        </w:rPr>
        <w:t xml:space="preserve"> Gasolina</w:t>
      </w:r>
      <w:r w:rsidRPr="00197AF3">
        <w:rPr>
          <w:rFonts w:ascii="Arial" w:hAnsi="Arial" w:cs="Arial"/>
          <w:b/>
          <w:bCs/>
          <w:color w:val="000000" w:themeColor="text1"/>
          <w:u w:val="single"/>
        </w:rPr>
        <w:t xml:space="preserve"> Motor</w:t>
      </w:r>
      <w:r>
        <w:rPr>
          <w:rFonts w:ascii="Arial" w:hAnsi="Arial" w:cs="Arial"/>
          <w:b/>
          <w:bCs/>
          <w:color w:val="000000" w:themeColor="text1"/>
          <w:u w:val="single"/>
        </w:rPr>
        <w:t xml:space="preserve"> </w:t>
      </w:r>
      <w:r w:rsidRPr="00197AF3">
        <w:rPr>
          <w:rFonts w:ascii="Arial" w:hAnsi="Arial" w:cs="Arial"/>
          <w:b/>
          <w:bCs/>
          <w:color w:val="000000" w:themeColor="text1"/>
          <w:u w:val="single"/>
        </w:rPr>
        <w:t>Corriente:</w:t>
      </w:r>
      <w:r w:rsidRPr="006A6F4C">
        <w:rPr>
          <w:rFonts w:ascii="Arial" w:hAnsi="Arial" w:cs="Arial"/>
          <w:bCs/>
          <w:color w:val="000000" w:themeColor="text1"/>
        </w:rPr>
        <w:t xml:space="preserve"> </w:t>
      </w:r>
      <w:r w:rsidRPr="000810F8">
        <w:rPr>
          <w:rFonts w:ascii="Arial" w:hAnsi="Arial" w:cs="Arial"/>
          <w:bCs/>
          <w:color w:val="000000" w:themeColor="text1"/>
        </w:rPr>
        <w:t xml:space="preserve">El cual será publicado mes a mes según las normas de </w:t>
      </w:r>
      <w:r w:rsidRPr="000810F8">
        <w:rPr>
          <w:rFonts w:ascii="Arial" w:hAnsi="Arial" w:cs="Arial"/>
          <w:color w:val="000000"/>
        </w:rPr>
        <w:t xml:space="preserve">Transparencia y del Derecho de Acceso a la Información Pública Nacional, con el fin de que sea de </w:t>
      </w:r>
      <w:r>
        <w:rPr>
          <w:rFonts w:ascii="Arial" w:hAnsi="Arial" w:cs="Arial"/>
          <w:color w:val="000000"/>
        </w:rPr>
        <w:t xml:space="preserve">pública y de </w:t>
      </w:r>
      <w:r w:rsidRPr="000810F8">
        <w:rPr>
          <w:rFonts w:ascii="Arial" w:hAnsi="Arial" w:cs="Arial"/>
          <w:color w:val="000000"/>
        </w:rPr>
        <w:t xml:space="preserve">fácil acceso para la comunidad. </w:t>
      </w:r>
    </w:p>
    <w:p w:rsidR="006A6F4C" w:rsidRPr="003F5900" w:rsidRDefault="006A6F4C" w:rsidP="00C31D20">
      <w:pPr>
        <w:contextualSpacing/>
        <w:jc w:val="both"/>
        <w:rPr>
          <w:rFonts w:ascii="Arial" w:hAnsi="Arial" w:cs="Arial"/>
          <w:bCs/>
          <w:color w:val="000000" w:themeColor="text1"/>
        </w:rPr>
      </w:pPr>
    </w:p>
    <w:p w:rsidR="006A6F4C" w:rsidRPr="00197AF3" w:rsidRDefault="006A6F4C" w:rsidP="00C31D20">
      <w:pPr>
        <w:contextualSpacing/>
        <w:jc w:val="both"/>
        <w:rPr>
          <w:rFonts w:ascii="Arial" w:hAnsi="Arial" w:cs="Arial"/>
          <w:color w:val="000000" w:themeColor="text1"/>
        </w:rPr>
      </w:pPr>
      <w:r w:rsidRPr="00197AF3">
        <w:rPr>
          <w:rFonts w:ascii="Arial" w:hAnsi="Arial" w:cs="Arial"/>
          <w:b/>
          <w:bCs/>
          <w:color w:val="000000" w:themeColor="text1"/>
        </w:rPr>
        <w:t>Fecha de Cálculo - FC:</w:t>
      </w:r>
      <w:r w:rsidRPr="00197AF3">
        <w:rPr>
          <w:rFonts w:ascii="Arial" w:hAnsi="Arial" w:cs="Arial"/>
          <w:color w:val="000000" w:themeColor="text1"/>
        </w:rPr>
        <w:t> Corresponde al último día hábil de cada mes, es decir, el anterior al primer día calendario del mes siguiente, si tal día no es festivo. </w:t>
      </w:r>
    </w:p>
    <w:p w:rsidR="006A6F4C" w:rsidRPr="00197AF3" w:rsidRDefault="006A6F4C" w:rsidP="00C31D20">
      <w:pPr>
        <w:contextualSpacing/>
        <w:jc w:val="both"/>
        <w:rPr>
          <w:rFonts w:ascii="Arial" w:hAnsi="Arial" w:cs="Arial"/>
          <w:color w:val="000000" w:themeColor="text1"/>
        </w:rPr>
      </w:pPr>
      <w:r w:rsidRPr="00197AF3">
        <w:rPr>
          <w:rFonts w:ascii="Arial" w:hAnsi="Arial" w:cs="Arial"/>
          <w:color w:val="000000" w:themeColor="text1"/>
        </w:rPr>
        <w:t>  </w:t>
      </w:r>
    </w:p>
    <w:p w:rsidR="006A6F4C" w:rsidRPr="00197AF3" w:rsidRDefault="006A6F4C" w:rsidP="00C31D20">
      <w:pPr>
        <w:contextualSpacing/>
        <w:jc w:val="both"/>
        <w:rPr>
          <w:rFonts w:ascii="Arial" w:hAnsi="Arial" w:cs="Arial"/>
          <w:color w:val="000000" w:themeColor="text1"/>
        </w:rPr>
      </w:pPr>
      <w:r>
        <w:rPr>
          <w:rFonts w:ascii="Arial" w:hAnsi="Arial" w:cs="Arial"/>
          <w:b/>
          <w:bCs/>
          <w:color w:val="000000" w:themeColor="text1"/>
        </w:rPr>
        <w:t xml:space="preserve">Valor de Referencia </w:t>
      </w:r>
      <w:r w:rsidR="00E31080">
        <w:rPr>
          <w:rFonts w:ascii="Arial" w:hAnsi="Arial" w:cs="Arial"/>
          <w:b/>
          <w:bCs/>
          <w:color w:val="000000" w:themeColor="text1"/>
        </w:rPr>
        <w:t xml:space="preserve">Vigente </w:t>
      </w:r>
      <w:r>
        <w:rPr>
          <w:rFonts w:ascii="Arial" w:hAnsi="Arial" w:cs="Arial"/>
          <w:b/>
          <w:bCs/>
          <w:color w:val="000000" w:themeColor="text1"/>
        </w:rPr>
        <w:t>- VR</w:t>
      </w:r>
      <w:r w:rsidRPr="00197AF3">
        <w:rPr>
          <w:rFonts w:ascii="Arial" w:hAnsi="Arial" w:cs="Arial"/>
          <w:b/>
          <w:bCs/>
          <w:color w:val="000000" w:themeColor="text1"/>
        </w:rPr>
        <w:t>:</w:t>
      </w:r>
      <w:r w:rsidRPr="00197AF3">
        <w:rPr>
          <w:rFonts w:ascii="Arial" w:hAnsi="Arial" w:cs="Arial"/>
          <w:color w:val="000000" w:themeColor="text1"/>
        </w:rPr>
        <w:t> Corresponde al valor establecido por el Ministerio de Hacienda y Crédito Público</w:t>
      </w:r>
      <w:r>
        <w:rPr>
          <w:rFonts w:ascii="Arial" w:hAnsi="Arial" w:cs="Arial"/>
          <w:color w:val="000000" w:themeColor="text1"/>
        </w:rPr>
        <w:t>, revisado y verificado por</w:t>
      </w:r>
      <w:r w:rsidRPr="00197AF3">
        <w:rPr>
          <w:rFonts w:ascii="Arial" w:hAnsi="Arial" w:cs="Arial"/>
          <w:color w:val="000000" w:themeColor="text1"/>
        </w:rPr>
        <w:t xml:space="preserve"> el Observatorio de Control y Vigilancia de las Finanzas y las Políticas Públicas</w:t>
      </w:r>
      <w:r w:rsidRPr="00197AF3">
        <w:rPr>
          <w:rFonts w:ascii="Arial" w:hAnsi="Arial" w:cs="Arial"/>
          <w:b/>
          <w:bCs/>
          <w:color w:val="000000" w:themeColor="text1"/>
        </w:rPr>
        <w:t xml:space="preserve"> - </w:t>
      </w:r>
      <w:r w:rsidRPr="00197AF3">
        <w:rPr>
          <w:rFonts w:ascii="Arial" w:hAnsi="Arial" w:cs="Arial"/>
          <w:color w:val="000000" w:themeColor="text1"/>
          <w:shd w:val="clear" w:color="auto" w:fill="FFFFFF"/>
        </w:rPr>
        <w:t>Contraloría General de la República</w:t>
      </w:r>
      <w:r w:rsidRPr="00197AF3">
        <w:rPr>
          <w:rFonts w:ascii="Arial" w:hAnsi="Arial" w:cs="Arial"/>
          <w:color w:val="000000" w:themeColor="text1"/>
        </w:rPr>
        <w:t xml:space="preserve">, para el </w:t>
      </w:r>
      <w:r>
        <w:rPr>
          <w:rFonts w:ascii="Arial" w:hAnsi="Arial" w:cs="Arial"/>
          <w:color w:val="000000" w:themeColor="text1"/>
        </w:rPr>
        <w:t xml:space="preserve">Valor de Referencia </w:t>
      </w:r>
      <w:r w:rsidRPr="00197AF3">
        <w:rPr>
          <w:rFonts w:ascii="Arial" w:hAnsi="Arial" w:cs="Arial"/>
          <w:color w:val="000000" w:themeColor="text1"/>
        </w:rPr>
        <w:t>por galón de Gasolina Motor dentro de la estructura de precios para el mes en curso. </w:t>
      </w:r>
    </w:p>
    <w:p w:rsidR="006A6F4C" w:rsidRPr="00197AF3" w:rsidRDefault="006A6F4C" w:rsidP="00C31D20">
      <w:pPr>
        <w:contextualSpacing/>
        <w:jc w:val="both"/>
        <w:rPr>
          <w:rFonts w:ascii="Arial" w:hAnsi="Arial" w:cs="Arial"/>
          <w:color w:val="000000" w:themeColor="text1"/>
        </w:rPr>
      </w:pPr>
      <w:r w:rsidRPr="00197AF3">
        <w:rPr>
          <w:rFonts w:ascii="Arial" w:hAnsi="Arial" w:cs="Arial"/>
          <w:color w:val="000000" w:themeColor="text1"/>
        </w:rPr>
        <w:t>  </w:t>
      </w:r>
    </w:p>
    <w:p w:rsidR="006A6F4C" w:rsidRPr="00197AF3" w:rsidRDefault="006A6F4C" w:rsidP="00C31D20">
      <w:pPr>
        <w:contextualSpacing/>
        <w:jc w:val="both"/>
        <w:rPr>
          <w:rFonts w:ascii="Arial" w:hAnsi="Arial" w:cs="Arial"/>
          <w:color w:val="000000" w:themeColor="text1"/>
        </w:rPr>
      </w:pPr>
      <w:r w:rsidRPr="00197AF3">
        <w:rPr>
          <w:rFonts w:ascii="Arial" w:hAnsi="Arial" w:cs="Arial"/>
          <w:b/>
          <w:bCs/>
          <w:color w:val="000000" w:themeColor="text1"/>
        </w:rPr>
        <w:t>Precio Diario Paridad Exportación de la Gasolina Motor Corriente de Producción Nacional –</w:t>
      </w:r>
      <w:r w:rsidRPr="00197AF3">
        <w:rPr>
          <w:rFonts w:ascii="Arial" w:hAnsi="Arial" w:cs="Arial"/>
          <w:color w:val="000000" w:themeColor="text1"/>
        </w:rPr>
        <w:t xml:space="preserve"> </w:t>
      </w:r>
      <w:r w:rsidRPr="00197AF3">
        <w:rPr>
          <w:rFonts w:ascii="Arial" w:hAnsi="Arial" w:cs="Arial"/>
          <w:b/>
          <w:bCs/>
          <w:color w:val="000000" w:themeColor="text1"/>
        </w:rPr>
        <w:t>PPE</w:t>
      </w:r>
      <w:r w:rsidRPr="00197AF3">
        <w:rPr>
          <w:rFonts w:ascii="Cambria Math" w:hAnsi="Cambria Math" w:cs="Cambria Math"/>
          <w:b/>
          <w:bCs/>
          <w:color w:val="000000" w:themeColor="text1"/>
        </w:rPr>
        <w:t>𝑡</w:t>
      </w:r>
      <w:r w:rsidRPr="00197AF3">
        <w:rPr>
          <w:rFonts w:ascii="Arial" w:hAnsi="Arial" w:cs="Arial"/>
          <w:b/>
          <w:bCs/>
          <w:color w:val="000000" w:themeColor="text1"/>
        </w:rPr>
        <w:t>:</w:t>
      </w:r>
      <w:r w:rsidRPr="00197AF3">
        <w:rPr>
          <w:rFonts w:ascii="Arial" w:hAnsi="Arial" w:cs="Arial"/>
          <w:color w:val="000000" w:themeColor="text1"/>
        </w:rPr>
        <w:t xml:space="preserve"> Corresponde al precio paridad exportación, referenciado al mercado del Golfo de los Estados Unidos de América, de cada observación diaria de la Gasolina Motor Corriente producida en Colombia y se calculará con referencia al índice de la gasolina UNL 87 USGC y la Nafta USGC, mediante la siguiente fórmula: </w:t>
      </w:r>
    </w:p>
    <w:p w:rsidR="006A6F4C" w:rsidRPr="00197AF3" w:rsidRDefault="006A6F4C" w:rsidP="00C31D20">
      <w:pPr>
        <w:contextualSpacing/>
        <w:jc w:val="both"/>
        <w:rPr>
          <w:rFonts w:ascii="Arial" w:hAnsi="Arial" w:cs="Arial"/>
          <w:color w:val="000000" w:themeColor="text1"/>
        </w:rPr>
      </w:pPr>
    </w:p>
    <w:p w:rsidR="006A6F4C" w:rsidRPr="00197AF3" w:rsidRDefault="006A6F4C" w:rsidP="00C31D20">
      <w:pPr>
        <w:contextualSpacing/>
        <w:jc w:val="center"/>
        <w:rPr>
          <w:rFonts w:ascii="Arial" w:hAnsi="Arial" w:cs="Arial"/>
          <w:color w:val="000000" w:themeColor="text1"/>
        </w:rPr>
      </w:pPr>
      <w:r w:rsidRPr="00197AF3">
        <w:rPr>
          <w:rFonts w:ascii="Cambria Math" w:hAnsi="Cambria Math" w:cs="Cambria Math"/>
          <w:color w:val="000000" w:themeColor="text1"/>
        </w:rPr>
        <w:t>𝑃𝑃𝐸𝑡</w:t>
      </w:r>
      <w:r w:rsidRPr="00197AF3">
        <w:rPr>
          <w:rFonts w:ascii="Arial" w:hAnsi="Arial" w:cs="Arial"/>
          <w:color w:val="000000" w:themeColor="text1"/>
        </w:rPr>
        <w:t xml:space="preserve"> </w:t>
      </w:r>
      <w:proofErr w:type="gramStart"/>
      <w:r w:rsidRPr="00197AF3">
        <w:rPr>
          <w:rFonts w:ascii="Arial" w:hAnsi="Arial" w:cs="Arial"/>
          <w:color w:val="000000" w:themeColor="text1"/>
        </w:rPr>
        <w:t xml:space="preserve">[ </w:t>
      </w:r>
      <w:r w:rsidRPr="00197AF3">
        <w:rPr>
          <w:rFonts w:ascii="Cambria Math" w:hAnsi="Cambria Math" w:cs="Cambria Math"/>
          <w:color w:val="000000" w:themeColor="text1"/>
        </w:rPr>
        <w:t/>
      </w:r>
      <w:proofErr w:type="gramEnd"/>
      <w:r w:rsidRPr="00197AF3">
        <w:rPr>
          <w:rFonts w:ascii="Cambria Math" w:hAnsi="Cambria Math" w:cs="Cambria Math"/>
          <w:color w:val="000000" w:themeColor="text1"/>
        </w:rPr>
        <w:t>𝑃</w:t>
      </w:r>
      <w:r w:rsidRPr="00197AF3">
        <w:rPr>
          <w:rFonts w:ascii="Arial" w:hAnsi="Arial" w:cs="Arial"/>
          <w:color w:val="000000" w:themeColor="text1"/>
        </w:rPr>
        <w:t xml:space="preserve"> </w:t>
      </w:r>
      <w:r w:rsidRPr="00197AF3">
        <w:rPr>
          <w:rFonts w:ascii="Cambria Math" w:hAnsi="Cambria Math" w:cs="Cambria Math"/>
          <w:color w:val="000000" w:themeColor="text1"/>
        </w:rPr>
        <w:t>𝑔𝑎𝑙</w:t>
      </w:r>
      <w:r w:rsidRPr="00197AF3">
        <w:rPr>
          <w:rFonts w:ascii="Arial" w:hAnsi="Arial" w:cs="Arial"/>
          <w:color w:val="000000" w:themeColor="text1"/>
        </w:rPr>
        <w:t xml:space="preserve"> ] = [(0.7 </w:t>
      </w:r>
      <w:r w:rsidRPr="00197AF3">
        <w:rPr>
          <w:rFonts w:ascii="Cambria Math" w:hAnsi="Cambria Math" w:cs="Cambria Math"/>
          <w:color w:val="000000" w:themeColor="text1"/>
        </w:rPr>
        <w:t>∗</w:t>
      </w:r>
      <w:r w:rsidRPr="00197AF3">
        <w:rPr>
          <w:rFonts w:ascii="Arial" w:hAnsi="Arial" w:cs="Arial"/>
          <w:color w:val="000000" w:themeColor="text1"/>
        </w:rPr>
        <w:t xml:space="preserve"> </w:t>
      </w:r>
      <w:r w:rsidRPr="00197AF3">
        <w:rPr>
          <w:rFonts w:ascii="Cambria Math" w:hAnsi="Cambria Math" w:cs="Cambria Math"/>
          <w:color w:val="000000" w:themeColor="text1"/>
        </w:rPr>
        <w:t>𝑈𝑁𝐿</w:t>
      </w:r>
      <w:r w:rsidRPr="00197AF3">
        <w:rPr>
          <w:rFonts w:ascii="Arial" w:hAnsi="Arial" w:cs="Arial"/>
          <w:color w:val="000000" w:themeColor="text1"/>
        </w:rPr>
        <w:t>87</w:t>
      </w:r>
      <w:r w:rsidRPr="00197AF3">
        <w:rPr>
          <w:rFonts w:ascii="Cambria Math" w:hAnsi="Cambria Math" w:cs="Cambria Math"/>
          <w:color w:val="000000" w:themeColor="text1"/>
        </w:rPr>
        <w:t>𝑡</w:t>
      </w:r>
      <w:r w:rsidRPr="00197AF3">
        <w:rPr>
          <w:rFonts w:ascii="Arial" w:hAnsi="Arial" w:cs="Arial"/>
          <w:color w:val="000000" w:themeColor="text1"/>
        </w:rPr>
        <w:t xml:space="preserve"> + 0.3 </w:t>
      </w:r>
      <w:r w:rsidRPr="00197AF3">
        <w:rPr>
          <w:rFonts w:ascii="Cambria Math" w:hAnsi="Cambria Math" w:cs="Cambria Math"/>
          <w:color w:val="000000" w:themeColor="text1"/>
        </w:rPr>
        <w:t>∗</w:t>
      </w:r>
      <w:r w:rsidRPr="00197AF3">
        <w:rPr>
          <w:rFonts w:ascii="Arial" w:hAnsi="Arial" w:cs="Arial"/>
          <w:color w:val="000000" w:themeColor="text1"/>
        </w:rPr>
        <w:t xml:space="preserve"> </w:t>
      </w:r>
      <w:r w:rsidRPr="00197AF3">
        <w:rPr>
          <w:rFonts w:ascii="Cambria Math" w:hAnsi="Cambria Math" w:cs="Cambria Math"/>
          <w:color w:val="000000" w:themeColor="text1"/>
        </w:rPr>
        <w:t>𝑁𝑎𝑓𝑡𝑎𝑡</w:t>
      </w:r>
      <w:r w:rsidRPr="00197AF3">
        <w:rPr>
          <w:rFonts w:ascii="Arial" w:hAnsi="Arial" w:cs="Arial"/>
          <w:color w:val="000000" w:themeColor="text1"/>
        </w:rPr>
        <w:t xml:space="preserve"> ) − </w:t>
      </w:r>
      <w:r w:rsidRPr="00197AF3">
        <w:rPr>
          <w:rFonts w:ascii="Cambria Math" w:hAnsi="Cambria Math" w:cs="Cambria Math"/>
          <w:color w:val="000000" w:themeColor="text1"/>
        </w:rPr>
        <w:t>𝐹𝐿𝑡</w:t>
      </w:r>
      <w:r w:rsidRPr="00197AF3">
        <w:rPr>
          <w:rFonts w:ascii="Arial" w:hAnsi="Arial" w:cs="Arial"/>
          <w:color w:val="000000" w:themeColor="text1"/>
        </w:rPr>
        <w:t xml:space="preserve"> − </w:t>
      </w:r>
      <w:r w:rsidRPr="00197AF3">
        <w:rPr>
          <w:rFonts w:ascii="Cambria Math" w:hAnsi="Cambria Math" w:cs="Cambria Math"/>
          <w:color w:val="000000" w:themeColor="text1"/>
        </w:rPr>
        <w:t>𝐶𝑇𝑡</w:t>
      </w:r>
      <w:r w:rsidRPr="00197AF3">
        <w:rPr>
          <w:rFonts w:ascii="Arial" w:hAnsi="Arial" w:cs="Arial"/>
          <w:color w:val="000000" w:themeColor="text1"/>
        </w:rPr>
        <w:t xml:space="preserve"> ] </w:t>
      </w:r>
      <w:r w:rsidRPr="00197AF3">
        <w:rPr>
          <w:rFonts w:ascii="Cambria Math" w:hAnsi="Cambria Math" w:cs="Cambria Math"/>
          <w:color w:val="000000" w:themeColor="text1"/>
        </w:rPr>
        <w:t>∗</w:t>
      </w:r>
      <w:r w:rsidRPr="00197AF3">
        <w:rPr>
          <w:rFonts w:ascii="Arial" w:hAnsi="Arial" w:cs="Arial"/>
          <w:color w:val="000000" w:themeColor="text1"/>
        </w:rPr>
        <w:t xml:space="preserve"> </w:t>
      </w:r>
      <w:r w:rsidRPr="00197AF3">
        <w:rPr>
          <w:rFonts w:ascii="Cambria Math" w:hAnsi="Cambria Math" w:cs="Cambria Math"/>
          <w:color w:val="000000" w:themeColor="text1"/>
        </w:rPr>
        <w:t>𝑇𝑅𝑀</w:t>
      </w:r>
      <w:r>
        <w:rPr>
          <w:rFonts w:ascii="Cambria Math" w:hAnsi="Cambria Math" w:cs="Cambria Math"/>
          <w:color w:val="000000" w:themeColor="text1"/>
        </w:rPr>
        <w:t xml:space="preserve"> </w:t>
      </w:r>
    </w:p>
    <w:p w:rsidR="006A6F4C" w:rsidRPr="00197AF3" w:rsidRDefault="006A6F4C" w:rsidP="00C31D20">
      <w:pPr>
        <w:contextualSpacing/>
        <w:jc w:val="both"/>
        <w:rPr>
          <w:rFonts w:ascii="Arial" w:hAnsi="Arial" w:cs="Arial"/>
          <w:color w:val="000000" w:themeColor="text1"/>
        </w:rPr>
      </w:pPr>
    </w:p>
    <w:p w:rsidR="006A6F4C" w:rsidRPr="00197AF3" w:rsidRDefault="006A6F4C" w:rsidP="00C31D20">
      <w:pPr>
        <w:contextualSpacing/>
        <w:jc w:val="both"/>
        <w:rPr>
          <w:rFonts w:ascii="Arial" w:hAnsi="Arial" w:cs="Arial"/>
          <w:color w:val="000000" w:themeColor="text1"/>
        </w:rPr>
      </w:pPr>
      <w:r w:rsidRPr="00197AF3">
        <w:rPr>
          <w:rFonts w:ascii="Arial" w:hAnsi="Arial" w:cs="Arial"/>
          <w:color w:val="000000" w:themeColor="text1"/>
        </w:rPr>
        <w:t> </w:t>
      </w:r>
      <w:proofErr w:type="spellStart"/>
      <w:r w:rsidRPr="00197AF3">
        <w:rPr>
          <w:rFonts w:ascii="Arial" w:hAnsi="Arial" w:cs="Arial"/>
          <w:color w:val="000000" w:themeColor="text1"/>
        </w:rPr>
        <w:t>Donde</w:t>
      </w:r>
      <w:proofErr w:type="spellEnd"/>
      <w:r w:rsidRPr="00197AF3">
        <w:rPr>
          <w:rFonts w:ascii="Arial" w:hAnsi="Arial" w:cs="Arial"/>
          <w:color w:val="000000" w:themeColor="text1"/>
        </w:rPr>
        <w:t>: </w:t>
      </w:r>
    </w:p>
    <w:p w:rsidR="006A6F4C" w:rsidRPr="00197AF3" w:rsidRDefault="006A6F4C" w:rsidP="00C31D20">
      <w:pPr>
        <w:contextualSpacing/>
        <w:jc w:val="both"/>
        <w:rPr>
          <w:rFonts w:ascii="Arial" w:hAnsi="Arial" w:cs="Arial"/>
          <w:color w:val="000000" w:themeColor="text1"/>
        </w:rPr>
      </w:pPr>
    </w:p>
    <w:tbl>
      <w:tblPr>
        <w:tblW w:w="0" w:type="auto"/>
        <w:tblCellSpacing w:w="0" w:type="dxa"/>
        <w:tblCellMar>
          <w:left w:w="0" w:type="dxa"/>
          <w:right w:w="0" w:type="dxa"/>
        </w:tblCellMar>
        <w:tblLook w:val="04A0" w:firstRow="1" w:lastRow="0" w:firstColumn="1" w:lastColumn="0" w:noHBand="0" w:noVBand="1"/>
      </w:tblPr>
      <w:tblGrid>
        <w:gridCol w:w="1455"/>
        <w:gridCol w:w="7613"/>
      </w:tblGrid>
      <w:tr w:rsidR="006A6F4C" w:rsidRPr="00197AF3" w:rsidTr="006A6F4C">
        <w:trPr>
          <w:tblCellSpacing w:w="0" w:type="dxa"/>
        </w:trPr>
        <w:tc>
          <w:tcPr>
            <w:tcW w:w="1995" w:type="dxa"/>
            <w:tcMar>
              <w:top w:w="0" w:type="dxa"/>
              <w:left w:w="115" w:type="dxa"/>
              <w:bottom w:w="0" w:type="dxa"/>
              <w:right w:w="115" w:type="dxa"/>
            </w:tcMar>
            <w:hideMark/>
          </w:tcPr>
          <w:p w:rsidR="006A6F4C" w:rsidRPr="00197AF3" w:rsidRDefault="006A6F4C" w:rsidP="00C31D20">
            <w:pPr>
              <w:spacing w:after="75"/>
              <w:contextualSpacing/>
              <w:jc w:val="both"/>
              <w:rPr>
                <w:rFonts w:ascii="Arial" w:hAnsi="Arial" w:cs="Arial"/>
                <w:color w:val="000000" w:themeColor="text1"/>
              </w:rPr>
            </w:pPr>
            <w:r w:rsidRPr="00197AF3">
              <w:rPr>
                <w:rFonts w:ascii="Arial" w:hAnsi="Arial" w:cs="Arial"/>
                <w:b/>
                <w:bCs/>
                <w:color w:val="000000" w:themeColor="text1"/>
              </w:rPr>
              <w:t>UNL87</w:t>
            </w:r>
            <w:r w:rsidRPr="00197AF3">
              <w:rPr>
                <w:rFonts w:ascii="Cambria Math" w:hAnsi="Cambria Math" w:cs="Cambria Math"/>
                <w:b/>
                <w:bCs/>
                <w:color w:val="000000" w:themeColor="text1"/>
              </w:rPr>
              <w:t>𝑡</w:t>
            </w:r>
            <w:r w:rsidRPr="00197AF3">
              <w:rPr>
                <w:rFonts w:ascii="Arial" w:hAnsi="Arial" w:cs="Arial"/>
                <w:b/>
                <w:bCs/>
                <w:color w:val="000000" w:themeColor="text1"/>
              </w:rPr>
              <w:t xml:space="preserve"> :</w:t>
            </w:r>
          </w:p>
        </w:tc>
        <w:tc>
          <w:tcPr>
            <w:tcW w:w="17805" w:type="dxa"/>
            <w:tcMar>
              <w:top w:w="0" w:type="dxa"/>
              <w:left w:w="115" w:type="dxa"/>
              <w:bottom w:w="0" w:type="dxa"/>
              <w:right w:w="115" w:type="dxa"/>
            </w:tcMar>
            <w:hideMark/>
          </w:tcPr>
          <w:p w:rsidR="006A6F4C" w:rsidRPr="00197AF3" w:rsidRDefault="006A6F4C" w:rsidP="00C31D20">
            <w:pPr>
              <w:spacing w:after="75"/>
              <w:contextualSpacing/>
              <w:jc w:val="both"/>
              <w:rPr>
                <w:rFonts w:ascii="Arial" w:hAnsi="Arial" w:cs="Arial"/>
                <w:color w:val="000000" w:themeColor="text1"/>
              </w:rPr>
            </w:pPr>
            <w:r w:rsidRPr="00197AF3">
              <w:rPr>
                <w:rFonts w:ascii="Arial" w:hAnsi="Arial" w:cs="Arial"/>
                <w:color w:val="000000" w:themeColor="text1"/>
              </w:rPr>
              <w:t xml:space="preserve">Corresponde a la cotización del índice UNL 87 (Ron 92) en la U.S. </w:t>
            </w:r>
            <w:proofErr w:type="spellStart"/>
            <w:r w:rsidRPr="00197AF3">
              <w:rPr>
                <w:rFonts w:ascii="Arial" w:hAnsi="Arial" w:cs="Arial"/>
                <w:color w:val="000000" w:themeColor="text1"/>
              </w:rPr>
              <w:t>Gulf</w:t>
            </w:r>
            <w:proofErr w:type="spellEnd"/>
            <w:r w:rsidRPr="00197AF3">
              <w:rPr>
                <w:rFonts w:ascii="Arial" w:hAnsi="Arial" w:cs="Arial"/>
                <w:color w:val="000000" w:themeColor="text1"/>
              </w:rPr>
              <w:t xml:space="preserve"> </w:t>
            </w:r>
            <w:proofErr w:type="spellStart"/>
            <w:r w:rsidRPr="00197AF3">
              <w:rPr>
                <w:rFonts w:ascii="Arial" w:hAnsi="Arial" w:cs="Arial"/>
                <w:color w:val="000000" w:themeColor="text1"/>
              </w:rPr>
              <w:t>Coast</w:t>
            </w:r>
            <w:proofErr w:type="spellEnd"/>
            <w:r w:rsidRPr="00197AF3">
              <w:rPr>
                <w:rFonts w:ascii="Arial" w:hAnsi="Arial" w:cs="Arial"/>
                <w:color w:val="000000" w:themeColor="text1"/>
              </w:rPr>
              <w:t xml:space="preserve"> </w:t>
            </w:r>
            <w:proofErr w:type="spellStart"/>
            <w:r w:rsidRPr="00197AF3">
              <w:rPr>
                <w:rFonts w:ascii="Arial" w:hAnsi="Arial" w:cs="Arial"/>
                <w:color w:val="000000" w:themeColor="text1"/>
              </w:rPr>
              <w:t>Waterborne</w:t>
            </w:r>
            <w:proofErr w:type="spellEnd"/>
            <w:r w:rsidRPr="00197AF3">
              <w:rPr>
                <w:rFonts w:ascii="Arial" w:hAnsi="Arial" w:cs="Arial"/>
                <w:color w:val="000000" w:themeColor="text1"/>
              </w:rPr>
              <w:t xml:space="preserve"> de la publicación </w:t>
            </w:r>
            <w:proofErr w:type="spellStart"/>
            <w:r w:rsidRPr="00197AF3">
              <w:rPr>
                <w:rFonts w:ascii="Arial" w:hAnsi="Arial" w:cs="Arial"/>
                <w:color w:val="000000" w:themeColor="text1"/>
              </w:rPr>
              <w:t>PLATT's</w:t>
            </w:r>
            <w:proofErr w:type="spellEnd"/>
            <w:r w:rsidRPr="00197AF3">
              <w:rPr>
                <w:rFonts w:ascii="Arial" w:hAnsi="Arial" w:cs="Arial"/>
                <w:color w:val="000000" w:themeColor="text1"/>
              </w:rPr>
              <w:t xml:space="preserve"> de Standard &amp; </w:t>
            </w:r>
            <w:proofErr w:type="spellStart"/>
            <w:r w:rsidRPr="00197AF3">
              <w:rPr>
                <w:rFonts w:ascii="Arial" w:hAnsi="Arial" w:cs="Arial"/>
                <w:color w:val="000000" w:themeColor="text1"/>
              </w:rPr>
              <w:t>Poor's</w:t>
            </w:r>
            <w:proofErr w:type="spellEnd"/>
            <w:r w:rsidRPr="00197AF3">
              <w:rPr>
                <w:rFonts w:ascii="Arial" w:hAnsi="Arial" w:cs="Arial"/>
                <w:color w:val="000000" w:themeColor="text1"/>
              </w:rPr>
              <w:t>, expresado en dólares por galón (US$/Gal), en el día t.</w:t>
            </w:r>
          </w:p>
        </w:tc>
      </w:tr>
      <w:tr w:rsidR="006A6F4C" w:rsidRPr="00197AF3" w:rsidTr="006A6F4C">
        <w:trPr>
          <w:tblCellSpacing w:w="0" w:type="dxa"/>
        </w:trPr>
        <w:tc>
          <w:tcPr>
            <w:tcW w:w="1995" w:type="dxa"/>
            <w:tcMar>
              <w:top w:w="0" w:type="dxa"/>
              <w:left w:w="115" w:type="dxa"/>
              <w:bottom w:w="0" w:type="dxa"/>
              <w:right w:w="115" w:type="dxa"/>
            </w:tcMar>
            <w:hideMark/>
          </w:tcPr>
          <w:p w:rsidR="006A6F4C" w:rsidRPr="00197AF3" w:rsidRDefault="006A6F4C" w:rsidP="00C31D20">
            <w:pPr>
              <w:spacing w:after="75"/>
              <w:contextualSpacing/>
              <w:jc w:val="both"/>
              <w:rPr>
                <w:rFonts w:ascii="Arial" w:hAnsi="Arial" w:cs="Arial"/>
                <w:color w:val="000000" w:themeColor="text1"/>
              </w:rPr>
            </w:pPr>
            <w:r w:rsidRPr="00197AF3">
              <w:rPr>
                <w:rFonts w:ascii="Arial" w:hAnsi="Arial" w:cs="Arial"/>
                <w:b/>
                <w:bCs/>
                <w:color w:val="000000" w:themeColor="text1"/>
              </w:rPr>
              <w:t>NAFTA</w:t>
            </w:r>
            <w:r w:rsidRPr="00197AF3">
              <w:rPr>
                <w:rFonts w:ascii="Cambria Math" w:hAnsi="Cambria Math" w:cs="Cambria Math"/>
                <w:b/>
                <w:bCs/>
                <w:color w:val="000000" w:themeColor="text1"/>
              </w:rPr>
              <w:t>𝑡</w:t>
            </w:r>
            <w:r w:rsidRPr="00197AF3">
              <w:rPr>
                <w:rFonts w:ascii="Arial" w:hAnsi="Arial" w:cs="Arial"/>
                <w:b/>
                <w:bCs/>
                <w:color w:val="000000" w:themeColor="text1"/>
              </w:rPr>
              <w:t xml:space="preserve"> :</w:t>
            </w:r>
          </w:p>
        </w:tc>
        <w:tc>
          <w:tcPr>
            <w:tcW w:w="17805" w:type="dxa"/>
            <w:tcMar>
              <w:top w:w="0" w:type="dxa"/>
              <w:left w:w="115" w:type="dxa"/>
              <w:bottom w:w="0" w:type="dxa"/>
              <w:right w:w="115" w:type="dxa"/>
            </w:tcMar>
            <w:hideMark/>
          </w:tcPr>
          <w:p w:rsidR="006A6F4C" w:rsidRPr="00197AF3" w:rsidRDefault="006A6F4C" w:rsidP="00C31D20">
            <w:pPr>
              <w:spacing w:after="75"/>
              <w:contextualSpacing/>
              <w:jc w:val="both"/>
              <w:rPr>
                <w:rFonts w:ascii="Arial" w:hAnsi="Arial" w:cs="Arial"/>
                <w:color w:val="000000" w:themeColor="text1"/>
              </w:rPr>
            </w:pPr>
            <w:r w:rsidRPr="00197AF3">
              <w:rPr>
                <w:rFonts w:ascii="Arial" w:hAnsi="Arial" w:cs="Arial"/>
                <w:color w:val="000000" w:themeColor="text1"/>
              </w:rPr>
              <w:t xml:space="preserve">Corresponde a la cotización del índice de la Nafta en la Costa del Golfo de los Estados Unidos de la publicación </w:t>
            </w:r>
            <w:proofErr w:type="spellStart"/>
            <w:r w:rsidRPr="00197AF3">
              <w:rPr>
                <w:rFonts w:ascii="Arial" w:hAnsi="Arial" w:cs="Arial"/>
                <w:color w:val="000000" w:themeColor="text1"/>
              </w:rPr>
              <w:t>PLATT's</w:t>
            </w:r>
            <w:proofErr w:type="spellEnd"/>
            <w:r w:rsidRPr="00197AF3">
              <w:rPr>
                <w:rFonts w:ascii="Arial" w:hAnsi="Arial" w:cs="Arial"/>
                <w:color w:val="000000" w:themeColor="text1"/>
              </w:rPr>
              <w:t xml:space="preserve"> de Standard &amp; </w:t>
            </w:r>
            <w:proofErr w:type="spellStart"/>
            <w:r w:rsidRPr="00197AF3">
              <w:rPr>
                <w:rFonts w:ascii="Arial" w:hAnsi="Arial" w:cs="Arial"/>
                <w:color w:val="000000" w:themeColor="text1"/>
              </w:rPr>
              <w:t>Poor's</w:t>
            </w:r>
            <w:proofErr w:type="spellEnd"/>
            <w:r w:rsidRPr="00197AF3">
              <w:rPr>
                <w:rFonts w:ascii="Arial" w:hAnsi="Arial" w:cs="Arial"/>
                <w:color w:val="000000" w:themeColor="text1"/>
              </w:rPr>
              <w:t>, expresado en dólares por galón (US$/Gal), en el día t.</w:t>
            </w:r>
          </w:p>
        </w:tc>
      </w:tr>
      <w:tr w:rsidR="006A6F4C" w:rsidRPr="00197AF3" w:rsidTr="006A6F4C">
        <w:trPr>
          <w:tblCellSpacing w:w="0" w:type="dxa"/>
        </w:trPr>
        <w:tc>
          <w:tcPr>
            <w:tcW w:w="1995" w:type="dxa"/>
            <w:tcMar>
              <w:top w:w="0" w:type="dxa"/>
              <w:left w:w="115" w:type="dxa"/>
              <w:bottom w:w="0" w:type="dxa"/>
              <w:right w:w="115" w:type="dxa"/>
            </w:tcMar>
            <w:hideMark/>
          </w:tcPr>
          <w:p w:rsidR="006A6F4C" w:rsidRPr="00197AF3" w:rsidRDefault="006A6F4C" w:rsidP="00C31D20">
            <w:pPr>
              <w:spacing w:after="75"/>
              <w:contextualSpacing/>
              <w:jc w:val="both"/>
              <w:rPr>
                <w:rFonts w:ascii="Arial" w:hAnsi="Arial" w:cs="Arial"/>
                <w:color w:val="000000" w:themeColor="text1"/>
              </w:rPr>
            </w:pPr>
            <w:r w:rsidRPr="00197AF3">
              <w:rPr>
                <w:rFonts w:ascii="Arial" w:hAnsi="Arial" w:cs="Arial"/>
                <w:b/>
                <w:bCs/>
                <w:color w:val="000000" w:themeColor="text1"/>
              </w:rPr>
              <w:t>FL</w:t>
            </w:r>
            <w:r w:rsidRPr="00197AF3">
              <w:rPr>
                <w:rFonts w:ascii="Cambria Math" w:hAnsi="Cambria Math" w:cs="Cambria Math"/>
                <w:b/>
                <w:bCs/>
                <w:color w:val="000000" w:themeColor="text1"/>
              </w:rPr>
              <w:t>𝑡</w:t>
            </w:r>
            <w:r w:rsidRPr="00197AF3">
              <w:rPr>
                <w:rFonts w:ascii="Arial" w:hAnsi="Arial" w:cs="Arial"/>
                <w:b/>
                <w:bCs/>
                <w:color w:val="000000" w:themeColor="text1"/>
              </w:rPr>
              <w:t>:</w:t>
            </w:r>
          </w:p>
        </w:tc>
        <w:tc>
          <w:tcPr>
            <w:tcW w:w="17805" w:type="dxa"/>
            <w:tcMar>
              <w:top w:w="0" w:type="dxa"/>
              <w:left w:w="115" w:type="dxa"/>
              <w:bottom w:w="0" w:type="dxa"/>
              <w:right w:w="115" w:type="dxa"/>
            </w:tcMar>
            <w:hideMark/>
          </w:tcPr>
          <w:p w:rsidR="006A6F4C" w:rsidRPr="00197AF3" w:rsidRDefault="006A6F4C" w:rsidP="00C31D20">
            <w:pPr>
              <w:spacing w:after="75"/>
              <w:contextualSpacing/>
              <w:jc w:val="both"/>
              <w:rPr>
                <w:rFonts w:ascii="Arial" w:hAnsi="Arial" w:cs="Arial"/>
                <w:color w:val="000000" w:themeColor="text1"/>
              </w:rPr>
            </w:pPr>
            <w:r w:rsidRPr="00197AF3">
              <w:rPr>
                <w:rFonts w:ascii="Arial" w:hAnsi="Arial" w:cs="Arial"/>
                <w:color w:val="000000" w:themeColor="text1"/>
              </w:rPr>
              <w:t xml:space="preserve">Corresponde al costo de los fletes marítimos o terrestres y demás costos incurridos para transportar un galón de gasolina desde el puerto de exportación local de la Costa Colombiana hasta la Costa </w:t>
            </w:r>
            <w:r w:rsidRPr="00197AF3">
              <w:rPr>
                <w:rFonts w:ascii="Arial" w:hAnsi="Arial" w:cs="Arial"/>
                <w:color w:val="000000" w:themeColor="text1"/>
              </w:rPr>
              <w:lastRenderedPageBreak/>
              <w:t>del Golfo de los Estados Unidos de América, expresado en dólares por galón (US$/ Galón), en el día t. Dicho valor será el que resulte de aplicar la siguiente fórmula:</w:t>
            </w:r>
          </w:p>
          <w:p w:rsidR="006A6F4C" w:rsidRPr="00197AF3" w:rsidRDefault="006A6F4C" w:rsidP="00C31D20">
            <w:pPr>
              <w:spacing w:after="75"/>
              <w:contextualSpacing/>
              <w:jc w:val="both"/>
              <w:rPr>
                <w:rFonts w:ascii="Arial" w:hAnsi="Arial" w:cs="Arial"/>
                <w:color w:val="000000" w:themeColor="text1"/>
              </w:rPr>
            </w:pPr>
          </w:p>
          <w:p w:rsidR="006A6F4C" w:rsidRPr="00197AF3" w:rsidRDefault="006A6F4C" w:rsidP="00C31D20">
            <w:pPr>
              <w:spacing w:after="75"/>
              <w:contextualSpacing/>
              <w:jc w:val="center"/>
              <w:rPr>
                <w:rFonts w:ascii="Arial" w:hAnsi="Arial" w:cs="Arial"/>
                <w:color w:val="000000" w:themeColor="text1"/>
              </w:rPr>
            </w:pPr>
            <w:r w:rsidRPr="00197AF3">
              <w:rPr>
                <w:rFonts w:ascii="Arial" w:hAnsi="Arial" w:cs="Arial"/>
                <w:color w:val="000000" w:themeColor="text1"/>
              </w:rPr>
              <w:t>FL</w:t>
            </w:r>
            <w:r w:rsidRPr="00197AF3">
              <w:rPr>
                <w:rFonts w:ascii="Cambria Math" w:hAnsi="Cambria Math" w:cs="Cambria Math"/>
                <w:color w:val="000000" w:themeColor="text1"/>
              </w:rPr>
              <w:t>𝑡</w:t>
            </w:r>
            <w:r w:rsidRPr="00197AF3">
              <w:rPr>
                <w:rFonts w:ascii="Arial" w:hAnsi="Arial" w:cs="Arial"/>
                <w:color w:val="000000" w:themeColor="text1"/>
              </w:rPr>
              <w:t xml:space="preserve"> = [ </w:t>
            </w:r>
            <w:proofErr w:type="spellStart"/>
            <w:r w:rsidRPr="00197AF3">
              <w:rPr>
                <w:rFonts w:ascii="Arial" w:hAnsi="Arial" w:cs="Arial"/>
                <w:color w:val="000000" w:themeColor="text1"/>
              </w:rPr>
              <w:t>Ws</w:t>
            </w:r>
            <w:proofErr w:type="spellEnd"/>
            <w:r w:rsidRPr="00197AF3">
              <w:rPr>
                <w:rFonts w:ascii="Arial" w:hAnsi="Arial" w:cs="Arial"/>
                <w:color w:val="000000" w:themeColor="text1"/>
              </w:rPr>
              <w:t xml:space="preserve"> </w:t>
            </w:r>
            <w:r w:rsidRPr="00197AF3">
              <w:rPr>
                <w:rFonts w:ascii="Cambria Math" w:hAnsi="Cambria Math" w:cs="Cambria Math"/>
                <w:color w:val="000000" w:themeColor="text1"/>
              </w:rPr>
              <w:t>𝑡</w:t>
            </w:r>
            <w:r w:rsidRPr="00197AF3">
              <w:rPr>
                <w:rFonts w:ascii="Arial" w:hAnsi="Arial" w:cs="Arial"/>
                <w:color w:val="000000" w:themeColor="text1"/>
              </w:rPr>
              <w:t xml:space="preserve"> / (f * 42)] * ( STR </w:t>
            </w:r>
            <w:r w:rsidRPr="00197AF3">
              <w:rPr>
                <w:rFonts w:ascii="Cambria Math" w:hAnsi="Cambria Math" w:cs="Cambria Math"/>
                <w:color w:val="000000" w:themeColor="text1"/>
              </w:rPr>
              <w:t>𝑡</w:t>
            </w:r>
            <w:r w:rsidRPr="00197AF3">
              <w:rPr>
                <w:rFonts w:ascii="Arial" w:hAnsi="Arial" w:cs="Arial"/>
                <w:color w:val="000000" w:themeColor="text1"/>
              </w:rPr>
              <w:t>/ 100)</w:t>
            </w:r>
          </w:p>
        </w:tc>
      </w:tr>
    </w:tbl>
    <w:p w:rsidR="006A6F4C" w:rsidRPr="00197AF3" w:rsidRDefault="00F90048" w:rsidP="00C31D20">
      <w:pPr>
        <w:contextualSpacing/>
        <w:jc w:val="both"/>
        <w:rPr>
          <w:rFonts w:ascii="Arial" w:hAnsi="Arial" w:cs="Arial"/>
          <w:color w:val="000000" w:themeColor="text1"/>
        </w:rPr>
      </w:pPr>
      <w:r w:rsidRPr="00197AF3">
        <w:rPr>
          <w:rFonts w:ascii="Arial" w:hAnsi="Arial" w:cs="Arial"/>
          <w:color w:val="000000" w:themeColor="text1"/>
        </w:rPr>
        <w:lastRenderedPageBreak/>
        <w:t>Dónde</w:t>
      </w:r>
      <w:r w:rsidR="006A6F4C" w:rsidRPr="00197AF3">
        <w:rPr>
          <w:rFonts w:ascii="Arial" w:hAnsi="Arial" w:cs="Arial"/>
          <w:color w:val="000000" w:themeColor="text1"/>
        </w:rPr>
        <w:t>: </w:t>
      </w:r>
    </w:p>
    <w:p w:rsidR="006A6F4C" w:rsidRPr="00197AF3" w:rsidRDefault="006A6F4C" w:rsidP="00C31D20">
      <w:pPr>
        <w:contextualSpacing/>
        <w:jc w:val="both"/>
        <w:rPr>
          <w:rFonts w:ascii="Arial" w:hAnsi="Arial" w:cs="Arial"/>
          <w:color w:val="000000" w:themeColor="text1"/>
        </w:rPr>
      </w:pPr>
    </w:p>
    <w:tbl>
      <w:tblPr>
        <w:tblW w:w="0" w:type="auto"/>
        <w:tblCellSpacing w:w="0" w:type="dxa"/>
        <w:tblCellMar>
          <w:left w:w="0" w:type="dxa"/>
          <w:right w:w="0" w:type="dxa"/>
        </w:tblCellMar>
        <w:tblLook w:val="04A0" w:firstRow="1" w:lastRow="0" w:firstColumn="1" w:lastColumn="0" w:noHBand="0" w:noVBand="1"/>
      </w:tblPr>
      <w:tblGrid>
        <w:gridCol w:w="1879"/>
        <w:gridCol w:w="7189"/>
      </w:tblGrid>
      <w:tr w:rsidR="006A6F4C" w:rsidRPr="00197AF3" w:rsidTr="006A6F4C">
        <w:trPr>
          <w:tblCellSpacing w:w="0" w:type="dxa"/>
        </w:trPr>
        <w:tc>
          <w:tcPr>
            <w:tcW w:w="2580" w:type="dxa"/>
            <w:tcMar>
              <w:top w:w="0" w:type="dxa"/>
              <w:left w:w="115" w:type="dxa"/>
              <w:bottom w:w="0" w:type="dxa"/>
              <w:right w:w="115" w:type="dxa"/>
            </w:tcMar>
            <w:hideMark/>
          </w:tcPr>
          <w:p w:rsidR="006A6F4C" w:rsidRPr="00197AF3" w:rsidRDefault="006A6F4C" w:rsidP="00C31D20">
            <w:pPr>
              <w:spacing w:after="75"/>
              <w:contextualSpacing/>
              <w:jc w:val="both"/>
              <w:rPr>
                <w:rFonts w:ascii="Arial" w:hAnsi="Arial" w:cs="Arial"/>
                <w:b/>
                <w:bCs/>
                <w:color w:val="000000" w:themeColor="text1"/>
              </w:rPr>
            </w:pPr>
            <w:r w:rsidRPr="00197AF3">
              <w:rPr>
                <w:rFonts w:ascii="Arial" w:hAnsi="Arial" w:cs="Arial"/>
                <w:b/>
                <w:bCs/>
                <w:color w:val="000000" w:themeColor="text1"/>
              </w:rPr>
              <w:t xml:space="preserve">WS </w:t>
            </w:r>
            <w:r w:rsidRPr="00197AF3">
              <w:rPr>
                <w:rFonts w:ascii="Cambria Math" w:hAnsi="Cambria Math" w:cs="Cambria Math"/>
                <w:b/>
                <w:bCs/>
                <w:color w:val="000000" w:themeColor="text1"/>
              </w:rPr>
              <w:t>𝑡</w:t>
            </w:r>
            <w:r w:rsidRPr="00197AF3">
              <w:rPr>
                <w:rFonts w:ascii="Arial" w:hAnsi="Arial" w:cs="Arial"/>
                <w:b/>
                <w:bCs/>
                <w:color w:val="000000" w:themeColor="text1"/>
              </w:rPr>
              <w:t>:</w:t>
            </w:r>
          </w:p>
        </w:tc>
        <w:tc>
          <w:tcPr>
            <w:tcW w:w="17220" w:type="dxa"/>
            <w:tcMar>
              <w:top w:w="0" w:type="dxa"/>
              <w:left w:w="115" w:type="dxa"/>
              <w:bottom w:w="0" w:type="dxa"/>
              <w:right w:w="115" w:type="dxa"/>
            </w:tcMar>
            <w:hideMark/>
          </w:tcPr>
          <w:p w:rsidR="006A6F4C" w:rsidRPr="00197AF3" w:rsidRDefault="006A6F4C" w:rsidP="00C31D20">
            <w:pPr>
              <w:spacing w:after="75"/>
              <w:contextualSpacing/>
              <w:jc w:val="both"/>
              <w:rPr>
                <w:rFonts w:ascii="Arial" w:hAnsi="Arial" w:cs="Arial"/>
                <w:color w:val="000000" w:themeColor="text1"/>
              </w:rPr>
            </w:pPr>
            <w:r w:rsidRPr="00197AF3">
              <w:rPr>
                <w:rFonts w:ascii="Arial" w:hAnsi="Arial" w:cs="Arial"/>
                <w:color w:val="000000" w:themeColor="text1"/>
              </w:rPr>
              <w:t xml:space="preserve">Corresponde a la cotización diaria del flete de referencia de la ruta Houston-Pozos Colorados, publicado por el </w:t>
            </w:r>
            <w:proofErr w:type="spellStart"/>
            <w:r w:rsidRPr="00197AF3">
              <w:rPr>
                <w:rFonts w:ascii="Arial" w:hAnsi="Arial" w:cs="Arial"/>
                <w:color w:val="000000" w:themeColor="text1"/>
              </w:rPr>
              <w:t>Worlwide</w:t>
            </w:r>
            <w:proofErr w:type="spellEnd"/>
            <w:r w:rsidRPr="00197AF3">
              <w:rPr>
                <w:rFonts w:ascii="Arial" w:hAnsi="Arial" w:cs="Arial"/>
                <w:color w:val="000000" w:themeColor="text1"/>
              </w:rPr>
              <w:t xml:space="preserve"> </w:t>
            </w:r>
            <w:proofErr w:type="spellStart"/>
            <w:r w:rsidRPr="00197AF3">
              <w:rPr>
                <w:rFonts w:ascii="Arial" w:hAnsi="Arial" w:cs="Arial"/>
                <w:color w:val="000000" w:themeColor="text1"/>
              </w:rPr>
              <w:t>Tanker</w:t>
            </w:r>
            <w:proofErr w:type="spellEnd"/>
            <w:r w:rsidRPr="00197AF3">
              <w:rPr>
                <w:rFonts w:ascii="Arial" w:hAnsi="Arial" w:cs="Arial"/>
                <w:color w:val="000000" w:themeColor="text1"/>
              </w:rPr>
              <w:t xml:space="preserve"> Nominal </w:t>
            </w:r>
            <w:proofErr w:type="spellStart"/>
            <w:r w:rsidRPr="00197AF3">
              <w:rPr>
                <w:rFonts w:ascii="Arial" w:hAnsi="Arial" w:cs="Arial"/>
                <w:color w:val="000000" w:themeColor="text1"/>
              </w:rPr>
              <w:t>Freight</w:t>
            </w:r>
            <w:proofErr w:type="spellEnd"/>
            <w:r w:rsidRPr="00197AF3">
              <w:rPr>
                <w:rFonts w:ascii="Arial" w:hAnsi="Arial" w:cs="Arial"/>
                <w:color w:val="000000" w:themeColor="text1"/>
              </w:rPr>
              <w:t xml:space="preserve"> </w:t>
            </w:r>
            <w:proofErr w:type="spellStart"/>
            <w:r w:rsidRPr="00197AF3">
              <w:rPr>
                <w:rFonts w:ascii="Arial" w:hAnsi="Arial" w:cs="Arial"/>
                <w:color w:val="000000" w:themeColor="text1"/>
              </w:rPr>
              <w:t>Scale</w:t>
            </w:r>
            <w:proofErr w:type="spellEnd"/>
            <w:r w:rsidRPr="00197AF3">
              <w:rPr>
                <w:rFonts w:ascii="Arial" w:hAnsi="Arial" w:cs="Arial"/>
                <w:color w:val="000000" w:themeColor="text1"/>
              </w:rPr>
              <w:t xml:space="preserve"> "</w:t>
            </w:r>
            <w:proofErr w:type="spellStart"/>
            <w:r w:rsidRPr="00197AF3">
              <w:rPr>
                <w:rFonts w:ascii="Arial" w:hAnsi="Arial" w:cs="Arial"/>
                <w:color w:val="000000" w:themeColor="text1"/>
              </w:rPr>
              <w:t>Worldscale</w:t>
            </w:r>
            <w:proofErr w:type="spellEnd"/>
            <w:r w:rsidRPr="00197AF3">
              <w:rPr>
                <w:rFonts w:ascii="Arial" w:hAnsi="Arial" w:cs="Arial"/>
                <w:color w:val="000000" w:themeColor="text1"/>
              </w:rPr>
              <w:t>", expresado en dólares por tonelada métrica, en el día t.</w:t>
            </w:r>
          </w:p>
        </w:tc>
      </w:tr>
      <w:tr w:rsidR="006A6F4C" w:rsidRPr="00197AF3" w:rsidTr="006A6F4C">
        <w:trPr>
          <w:tblCellSpacing w:w="0" w:type="dxa"/>
        </w:trPr>
        <w:tc>
          <w:tcPr>
            <w:tcW w:w="2580" w:type="dxa"/>
            <w:tcMar>
              <w:top w:w="0" w:type="dxa"/>
              <w:left w:w="115" w:type="dxa"/>
              <w:bottom w:w="0" w:type="dxa"/>
              <w:right w:w="115" w:type="dxa"/>
            </w:tcMar>
            <w:hideMark/>
          </w:tcPr>
          <w:p w:rsidR="006A6F4C" w:rsidRPr="00197AF3" w:rsidRDefault="006A6F4C" w:rsidP="00C31D20">
            <w:pPr>
              <w:spacing w:after="75"/>
              <w:contextualSpacing/>
              <w:jc w:val="both"/>
              <w:rPr>
                <w:rFonts w:ascii="Arial" w:hAnsi="Arial" w:cs="Arial"/>
                <w:color w:val="000000" w:themeColor="text1"/>
              </w:rPr>
            </w:pPr>
            <w:r w:rsidRPr="00197AF3">
              <w:rPr>
                <w:rFonts w:ascii="Arial" w:hAnsi="Arial" w:cs="Arial"/>
                <w:b/>
                <w:bCs/>
                <w:color w:val="000000" w:themeColor="text1"/>
              </w:rPr>
              <w:t>F:</w:t>
            </w:r>
          </w:p>
        </w:tc>
        <w:tc>
          <w:tcPr>
            <w:tcW w:w="17220" w:type="dxa"/>
            <w:tcMar>
              <w:top w:w="0" w:type="dxa"/>
              <w:left w:w="115" w:type="dxa"/>
              <w:bottom w:w="0" w:type="dxa"/>
              <w:right w:w="115" w:type="dxa"/>
            </w:tcMar>
            <w:hideMark/>
          </w:tcPr>
          <w:p w:rsidR="006A6F4C" w:rsidRPr="00197AF3" w:rsidRDefault="006A6F4C" w:rsidP="00C31D20">
            <w:pPr>
              <w:spacing w:after="75"/>
              <w:contextualSpacing/>
              <w:jc w:val="both"/>
              <w:rPr>
                <w:rFonts w:ascii="Arial" w:hAnsi="Arial" w:cs="Arial"/>
                <w:color w:val="000000" w:themeColor="text1"/>
              </w:rPr>
            </w:pPr>
            <w:r w:rsidRPr="00197AF3">
              <w:rPr>
                <w:rFonts w:ascii="Arial" w:hAnsi="Arial" w:cs="Arial"/>
                <w:color w:val="000000" w:themeColor="text1"/>
              </w:rPr>
              <w:t>Factor de conversión de Toneladas Métricas a Barriles. Para el caso de la Gasolina Motor Corriente colombiana este factor de conversión es de 8.535 a 60° API.</w:t>
            </w:r>
          </w:p>
        </w:tc>
      </w:tr>
      <w:tr w:rsidR="006A6F4C" w:rsidRPr="00197AF3" w:rsidTr="006A6F4C">
        <w:trPr>
          <w:tblCellSpacing w:w="0" w:type="dxa"/>
        </w:trPr>
        <w:tc>
          <w:tcPr>
            <w:tcW w:w="2580" w:type="dxa"/>
            <w:tcMar>
              <w:top w:w="0" w:type="dxa"/>
              <w:left w:w="115" w:type="dxa"/>
              <w:bottom w:w="0" w:type="dxa"/>
              <w:right w:w="115" w:type="dxa"/>
            </w:tcMar>
            <w:hideMark/>
          </w:tcPr>
          <w:p w:rsidR="006A6F4C" w:rsidRPr="00197AF3" w:rsidRDefault="006A6F4C" w:rsidP="00C31D20">
            <w:pPr>
              <w:spacing w:after="75"/>
              <w:contextualSpacing/>
              <w:jc w:val="both"/>
              <w:rPr>
                <w:rFonts w:ascii="Arial" w:hAnsi="Arial" w:cs="Arial"/>
                <w:color w:val="000000" w:themeColor="text1"/>
              </w:rPr>
            </w:pPr>
            <w:r w:rsidRPr="00197AF3">
              <w:rPr>
                <w:rFonts w:ascii="Arial" w:hAnsi="Arial" w:cs="Arial"/>
                <w:b/>
                <w:bCs/>
                <w:color w:val="000000" w:themeColor="text1"/>
              </w:rPr>
              <w:t>42:</w:t>
            </w:r>
          </w:p>
        </w:tc>
        <w:tc>
          <w:tcPr>
            <w:tcW w:w="17220" w:type="dxa"/>
            <w:tcMar>
              <w:top w:w="0" w:type="dxa"/>
              <w:left w:w="115" w:type="dxa"/>
              <w:bottom w:w="0" w:type="dxa"/>
              <w:right w:w="115" w:type="dxa"/>
            </w:tcMar>
            <w:hideMark/>
          </w:tcPr>
          <w:p w:rsidR="006A6F4C" w:rsidRPr="00197AF3" w:rsidRDefault="006A6F4C" w:rsidP="00C31D20">
            <w:pPr>
              <w:spacing w:after="75"/>
              <w:contextualSpacing/>
              <w:jc w:val="both"/>
              <w:rPr>
                <w:rFonts w:ascii="Arial" w:hAnsi="Arial" w:cs="Arial"/>
                <w:color w:val="000000" w:themeColor="text1"/>
              </w:rPr>
            </w:pPr>
            <w:r w:rsidRPr="00197AF3">
              <w:rPr>
                <w:rFonts w:ascii="Arial" w:hAnsi="Arial" w:cs="Arial"/>
                <w:color w:val="000000" w:themeColor="text1"/>
              </w:rPr>
              <w:t>Factor de conversión de barril a galón.</w:t>
            </w:r>
          </w:p>
        </w:tc>
      </w:tr>
      <w:tr w:rsidR="006A6F4C" w:rsidRPr="00197AF3" w:rsidTr="006A6F4C">
        <w:trPr>
          <w:tblCellSpacing w:w="0" w:type="dxa"/>
        </w:trPr>
        <w:tc>
          <w:tcPr>
            <w:tcW w:w="2580" w:type="dxa"/>
            <w:tcMar>
              <w:top w:w="0" w:type="dxa"/>
              <w:left w:w="115" w:type="dxa"/>
              <w:bottom w:w="0" w:type="dxa"/>
              <w:right w:w="115" w:type="dxa"/>
            </w:tcMar>
            <w:hideMark/>
          </w:tcPr>
          <w:p w:rsidR="006A6F4C" w:rsidRPr="00197AF3" w:rsidRDefault="006A6F4C" w:rsidP="00C31D20">
            <w:pPr>
              <w:spacing w:after="75"/>
              <w:contextualSpacing/>
              <w:jc w:val="both"/>
              <w:rPr>
                <w:rFonts w:ascii="Arial" w:hAnsi="Arial" w:cs="Arial"/>
                <w:b/>
                <w:bCs/>
                <w:color w:val="000000" w:themeColor="text1"/>
              </w:rPr>
            </w:pPr>
            <w:r w:rsidRPr="00197AF3">
              <w:rPr>
                <w:rFonts w:ascii="Arial" w:hAnsi="Arial" w:cs="Arial"/>
                <w:b/>
                <w:bCs/>
                <w:color w:val="000000" w:themeColor="text1"/>
              </w:rPr>
              <w:t xml:space="preserve">STR </w:t>
            </w:r>
            <w:r w:rsidRPr="00197AF3">
              <w:rPr>
                <w:rFonts w:ascii="Cambria Math" w:hAnsi="Cambria Math" w:cs="Cambria Math"/>
                <w:b/>
                <w:bCs/>
                <w:color w:val="000000" w:themeColor="text1"/>
              </w:rPr>
              <w:t>𝑡</w:t>
            </w:r>
            <w:r w:rsidRPr="00197AF3">
              <w:rPr>
                <w:rFonts w:ascii="Arial" w:hAnsi="Arial" w:cs="Arial"/>
                <w:b/>
                <w:bCs/>
                <w:color w:val="000000" w:themeColor="text1"/>
              </w:rPr>
              <w:t>:</w:t>
            </w:r>
          </w:p>
        </w:tc>
        <w:tc>
          <w:tcPr>
            <w:tcW w:w="17220" w:type="dxa"/>
            <w:tcMar>
              <w:top w:w="0" w:type="dxa"/>
              <w:left w:w="115" w:type="dxa"/>
              <w:bottom w:w="0" w:type="dxa"/>
              <w:right w:w="115" w:type="dxa"/>
            </w:tcMar>
            <w:hideMark/>
          </w:tcPr>
          <w:p w:rsidR="006A6F4C" w:rsidRPr="00197AF3" w:rsidRDefault="006A6F4C" w:rsidP="00C31D20">
            <w:pPr>
              <w:spacing w:after="75"/>
              <w:contextualSpacing/>
              <w:jc w:val="both"/>
              <w:rPr>
                <w:rFonts w:ascii="Arial" w:hAnsi="Arial" w:cs="Arial"/>
                <w:color w:val="000000" w:themeColor="text1"/>
              </w:rPr>
            </w:pPr>
            <w:r w:rsidRPr="00197AF3">
              <w:rPr>
                <w:rFonts w:ascii="Arial" w:hAnsi="Arial" w:cs="Arial"/>
                <w:color w:val="000000" w:themeColor="text1"/>
              </w:rPr>
              <w:t xml:space="preserve">Corresponde a la cotización diaria, del factor de corrección de mercado para el flete de los tanqueros limpios de 30.000 Toneladas Métricas para la ruta CARIB/USG, de la publicación </w:t>
            </w:r>
            <w:proofErr w:type="spellStart"/>
            <w:r w:rsidRPr="00197AF3">
              <w:rPr>
                <w:rFonts w:ascii="Arial" w:hAnsi="Arial" w:cs="Arial"/>
                <w:color w:val="000000" w:themeColor="text1"/>
              </w:rPr>
              <w:t>PLATT´s</w:t>
            </w:r>
            <w:proofErr w:type="spellEnd"/>
            <w:r w:rsidRPr="00197AF3">
              <w:rPr>
                <w:rFonts w:ascii="Arial" w:hAnsi="Arial" w:cs="Arial"/>
                <w:color w:val="000000" w:themeColor="text1"/>
              </w:rPr>
              <w:t xml:space="preserve"> de Standard &amp; </w:t>
            </w:r>
            <w:proofErr w:type="spellStart"/>
            <w:r w:rsidRPr="00197AF3">
              <w:rPr>
                <w:rFonts w:ascii="Arial" w:hAnsi="Arial" w:cs="Arial"/>
                <w:color w:val="000000" w:themeColor="text1"/>
              </w:rPr>
              <w:t>Poor´s</w:t>
            </w:r>
            <w:proofErr w:type="spellEnd"/>
            <w:r w:rsidRPr="00197AF3">
              <w:rPr>
                <w:rFonts w:ascii="Arial" w:hAnsi="Arial" w:cs="Arial"/>
                <w:color w:val="000000" w:themeColor="text1"/>
              </w:rPr>
              <w:t xml:space="preserve">, expresado en unidades de </w:t>
            </w:r>
            <w:proofErr w:type="spellStart"/>
            <w:r w:rsidRPr="00197AF3">
              <w:rPr>
                <w:rFonts w:ascii="Arial" w:hAnsi="Arial" w:cs="Arial"/>
                <w:color w:val="000000" w:themeColor="text1"/>
              </w:rPr>
              <w:t>Worldscale</w:t>
            </w:r>
            <w:proofErr w:type="spellEnd"/>
            <w:r w:rsidRPr="00197AF3">
              <w:rPr>
                <w:rFonts w:ascii="Arial" w:hAnsi="Arial" w:cs="Arial"/>
                <w:color w:val="000000" w:themeColor="text1"/>
              </w:rPr>
              <w:t xml:space="preserve"> (WS </w:t>
            </w:r>
            <w:proofErr w:type="spellStart"/>
            <w:r w:rsidRPr="00197AF3">
              <w:rPr>
                <w:rFonts w:ascii="Arial" w:hAnsi="Arial" w:cs="Arial"/>
                <w:color w:val="000000" w:themeColor="text1"/>
              </w:rPr>
              <w:t>Assess</w:t>
            </w:r>
            <w:proofErr w:type="spellEnd"/>
            <w:r w:rsidRPr="00197AF3">
              <w:rPr>
                <w:rFonts w:ascii="Arial" w:hAnsi="Arial" w:cs="Arial"/>
                <w:color w:val="000000" w:themeColor="text1"/>
              </w:rPr>
              <w:t>), en el día t.</w:t>
            </w:r>
          </w:p>
        </w:tc>
      </w:tr>
      <w:tr w:rsidR="006A6F4C" w:rsidRPr="00197AF3" w:rsidTr="006A6F4C">
        <w:trPr>
          <w:tblCellSpacing w:w="0" w:type="dxa"/>
        </w:trPr>
        <w:tc>
          <w:tcPr>
            <w:tcW w:w="2580" w:type="dxa"/>
            <w:tcMar>
              <w:top w:w="0" w:type="dxa"/>
              <w:left w:w="115" w:type="dxa"/>
              <w:bottom w:w="0" w:type="dxa"/>
              <w:right w:w="115" w:type="dxa"/>
            </w:tcMar>
            <w:hideMark/>
          </w:tcPr>
          <w:p w:rsidR="006A6F4C" w:rsidRPr="00197AF3" w:rsidRDefault="006A6F4C" w:rsidP="00C31D20">
            <w:pPr>
              <w:spacing w:after="75"/>
              <w:contextualSpacing/>
              <w:jc w:val="both"/>
              <w:rPr>
                <w:rFonts w:ascii="Arial" w:hAnsi="Arial" w:cs="Arial"/>
                <w:b/>
                <w:bCs/>
                <w:color w:val="000000" w:themeColor="text1"/>
              </w:rPr>
            </w:pPr>
            <w:r w:rsidRPr="00197AF3">
              <w:rPr>
                <w:rFonts w:ascii="Arial" w:hAnsi="Arial" w:cs="Arial"/>
                <w:b/>
                <w:bCs/>
                <w:color w:val="000000" w:themeColor="text1"/>
              </w:rPr>
              <w:t>CT</w:t>
            </w:r>
            <w:r w:rsidRPr="00197AF3">
              <w:rPr>
                <w:rFonts w:ascii="Cambria Math" w:hAnsi="Cambria Math" w:cs="Cambria Math"/>
                <w:b/>
                <w:bCs/>
                <w:color w:val="000000" w:themeColor="text1"/>
              </w:rPr>
              <w:t>𝑡</w:t>
            </w:r>
            <w:r w:rsidRPr="00197AF3">
              <w:rPr>
                <w:rFonts w:ascii="Arial" w:hAnsi="Arial" w:cs="Arial"/>
                <w:b/>
                <w:bCs/>
                <w:color w:val="000000" w:themeColor="text1"/>
              </w:rPr>
              <w:t>:</w:t>
            </w:r>
          </w:p>
        </w:tc>
        <w:tc>
          <w:tcPr>
            <w:tcW w:w="17220" w:type="dxa"/>
            <w:tcMar>
              <w:top w:w="0" w:type="dxa"/>
              <w:left w:w="115" w:type="dxa"/>
              <w:bottom w:w="0" w:type="dxa"/>
              <w:right w:w="115" w:type="dxa"/>
            </w:tcMar>
            <w:hideMark/>
          </w:tcPr>
          <w:p w:rsidR="006A6F4C" w:rsidRPr="00197AF3" w:rsidRDefault="006A6F4C" w:rsidP="00C31D20">
            <w:pPr>
              <w:spacing w:after="75"/>
              <w:contextualSpacing/>
              <w:jc w:val="both"/>
              <w:rPr>
                <w:rFonts w:ascii="Arial" w:hAnsi="Arial" w:cs="Arial"/>
                <w:color w:val="000000" w:themeColor="text1"/>
              </w:rPr>
            </w:pPr>
            <w:r w:rsidRPr="00197AF3">
              <w:rPr>
                <w:rFonts w:ascii="Arial" w:hAnsi="Arial" w:cs="Arial"/>
                <w:color w:val="000000" w:themeColor="text1"/>
              </w:rPr>
              <w:t>Corresponde, en el caso en que aplique, al costo de los fletes por poliducto o terrestres para transportar un galón de gasolina desde la Refinería hasta el puerto de exportación local, de acuerdo con las tarifas reguladas sobre el particular por el Ministerio de Minas y Energía o quien haga sus veces en materia de regulación de precios, expresado en dólares por galón (US$/Galón), en el día t. Para efectos de las tarifas en pesos, se utilizará para su conversión a dólares la tasa de cambio aplicable a cada uno de los días de cálculo.</w:t>
            </w:r>
          </w:p>
        </w:tc>
      </w:tr>
      <w:tr w:rsidR="006A6F4C" w:rsidRPr="00197AF3" w:rsidTr="006A6F4C">
        <w:trPr>
          <w:tblCellSpacing w:w="0" w:type="dxa"/>
        </w:trPr>
        <w:tc>
          <w:tcPr>
            <w:tcW w:w="2580" w:type="dxa"/>
            <w:tcMar>
              <w:top w:w="0" w:type="dxa"/>
              <w:left w:w="115" w:type="dxa"/>
              <w:bottom w:w="0" w:type="dxa"/>
              <w:right w:w="115" w:type="dxa"/>
            </w:tcMar>
            <w:hideMark/>
          </w:tcPr>
          <w:p w:rsidR="006A6F4C" w:rsidRPr="00197AF3" w:rsidRDefault="006A6F4C" w:rsidP="00C31D20">
            <w:pPr>
              <w:spacing w:after="75"/>
              <w:contextualSpacing/>
              <w:jc w:val="both"/>
              <w:rPr>
                <w:rFonts w:ascii="Arial" w:hAnsi="Arial" w:cs="Arial"/>
                <w:color w:val="000000" w:themeColor="text1"/>
              </w:rPr>
            </w:pPr>
            <w:r w:rsidRPr="00197AF3">
              <w:rPr>
                <w:rFonts w:ascii="Arial" w:hAnsi="Arial" w:cs="Arial"/>
                <w:b/>
                <w:bCs/>
                <w:color w:val="000000" w:themeColor="text1"/>
              </w:rPr>
              <w:t>TRM</w:t>
            </w:r>
            <w:r w:rsidRPr="00197AF3">
              <w:rPr>
                <w:rFonts w:ascii="Cambria Math" w:hAnsi="Cambria Math" w:cs="Cambria Math"/>
                <w:b/>
                <w:bCs/>
                <w:color w:val="000000" w:themeColor="text1"/>
              </w:rPr>
              <w:t>𝑡</w:t>
            </w:r>
            <w:r w:rsidRPr="00197AF3">
              <w:rPr>
                <w:rFonts w:ascii="Arial" w:hAnsi="Arial" w:cs="Arial"/>
                <w:b/>
                <w:bCs/>
                <w:color w:val="000000" w:themeColor="text1"/>
              </w:rPr>
              <w:t>:</w:t>
            </w:r>
          </w:p>
        </w:tc>
        <w:tc>
          <w:tcPr>
            <w:tcW w:w="17220" w:type="dxa"/>
            <w:tcMar>
              <w:top w:w="0" w:type="dxa"/>
              <w:left w:w="115" w:type="dxa"/>
              <w:bottom w:w="0" w:type="dxa"/>
              <w:right w:w="115" w:type="dxa"/>
            </w:tcMar>
            <w:hideMark/>
          </w:tcPr>
          <w:p w:rsidR="006A6F4C" w:rsidRPr="00197AF3" w:rsidRDefault="006A6F4C" w:rsidP="00C31D20">
            <w:pPr>
              <w:spacing w:after="75"/>
              <w:contextualSpacing/>
              <w:jc w:val="both"/>
              <w:rPr>
                <w:rFonts w:ascii="Arial" w:hAnsi="Arial" w:cs="Arial"/>
                <w:color w:val="000000" w:themeColor="text1"/>
              </w:rPr>
            </w:pPr>
            <w:r w:rsidRPr="00197AF3">
              <w:rPr>
                <w:rFonts w:ascii="Arial" w:hAnsi="Arial" w:cs="Arial"/>
                <w:color w:val="000000" w:themeColor="text1"/>
              </w:rPr>
              <w:t>Corresponde a la tasa de cambio representativa de Mercado vigente para el día t, certificada por la Superintendencia Financiera.</w:t>
            </w:r>
          </w:p>
        </w:tc>
      </w:tr>
      <w:tr w:rsidR="006A6F4C" w:rsidRPr="00197AF3" w:rsidTr="006A6F4C">
        <w:trPr>
          <w:tblCellSpacing w:w="0" w:type="dxa"/>
        </w:trPr>
        <w:tc>
          <w:tcPr>
            <w:tcW w:w="2580" w:type="dxa"/>
            <w:tcMar>
              <w:top w:w="0" w:type="dxa"/>
              <w:left w:w="115" w:type="dxa"/>
              <w:bottom w:w="0" w:type="dxa"/>
              <w:right w:w="115" w:type="dxa"/>
            </w:tcMar>
            <w:hideMark/>
          </w:tcPr>
          <w:p w:rsidR="006A6F4C" w:rsidRPr="00197AF3" w:rsidRDefault="006A6F4C" w:rsidP="00C31D20">
            <w:pPr>
              <w:spacing w:after="75"/>
              <w:contextualSpacing/>
              <w:jc w:val="both"/>
              <w:rPr>
                <w:rFonts w:ascii="Arial" w:hAnsi="Arial" w:cs="Arial"/>
                <w:color w:val="000000" w:themeColor="text1"/>
              </w:rPr>
            </w:pPr>
            <w:r w:rsidRPr="00197AF3">
              <w:rPr>
                <w:rFonts w:ascii="Arial" w:hAnsi="Arial" w:cs="Arial"/>
                <w:b/>
                <w:bCs/>
                <w:color w:val="000000" w:themeColor="text1"/>
              </w:rPr>
              <w:t>Diferencial</w:t>
            </w:r>
            <w:r w:rsidRPr="00197AF3">
              <w:rPr>
                <w:rFonts w:ascii="Arial" w:hAnsi="Arial" w:cs="Arial"/>
                <w:color w:val="000000" w:themeColor="text1"/>
              </w:rPr>
              <w:t>:</w:t>
            </w:r>
          </w:p>
        </w:tc>
        <w:tc>
          <w:tcPr>
            <w:tcW w:w="17220" w:type="dxa"/>
            <w:tcMar>
              <w:top w:w="0" w:type="dxa"/>
              <w:left w:w="115" w:type="dxa"/>
              <w:bottom w:w="0" w:type="dxa"/>
              <w:right w:w="115" w:type="dxa"/>
            </w:tcMar>
            <w:hideMark/>
          </w:tcPr>
          <w:p w:rsidR="006A6F4C" w:rsidRPr="00197AF3" w:rsidRDefault="006A6F4C" w:rsidP="00C31D20">
            <w:pPr>
              <w:spacing w:after="75"/>
              <w:contextualSpacing/>
              <w:jc w:val="both"/>
              <w:rPr>
                <w:rFonts w:ascii="Arial" w:hAnsi="Arial" w:cs="Arial"/>
                <w:color w:val="000000" w:themeColor="text1"/>
              </w:rPr>
            </w:pPr>
            <w:r w:rsidRPr="00197AF3">
              <w:rPr>
                <w:rFonts w:ascii="Arial" w:hAnsi="Arial" w:cs="Arial"/>
                <w:color w:val="000000" w:themeColor="text1"/>
              </w:rPr>
              <w:t>Corresponde a la diferencia positiva o negativa entre el precio paridad exportación diario de la Gasolina Motor Corriente de producción nacional, referenciado al mercado del Golfo de los Estados Unidos de América y el Ingreso al Productor vigente para cada día del mes.</w:t>
            </w:r>
          </w:p>
          <w:p w:rsidR="006A6F4C" w:rsidRPr="00197AF3" w:rsidRDefault="006A6F4C" w:rsidP="00C31D20">
            <w:pPr>
              <w:spacing w:after="75"/>
              <w:contextualSpacing/>
              <w:jc w:val="both"/>
              <w:rPr>
                <w:rFonts w:ascii="Arial" w:hAnsi="Arial" w:cs="Arial"/>
                <w:color w:val="000000" w:themeColor="text1"/>
              </w:rPr>
            </w:pPr>
          </w:p>
        </w:tc>
      </w:tr>
    </w:tbl>
    <w:p w:rsidR="006A6F4C" w:rsidRPr="00197AF3" w:rsidRDefault="006A6F4C" w:rsidP="00C31D20">
      <w:pPr>
        <w:contextualSpacing/>
        <w:jc w:val="both"/>
        <w:rPr>
          <w:rFonts w:ascii="Arial" w:hAnsi="Arial" w:cs="Arial"/>
          <w:color w:val="000000" w:themeColor="text1"/>
        </w:rPr>
      </w:pPr>
      <w:r w:rsidRPr="00197AF3">
        <w:rPr>
          <w:rFonts w:ascii="Arial" w:hAnsi="Arial" w:cs="Arial"/>
          <w:color w:val="000000" w:themeColor="text1"/>
        </w:rPr>
        <w:lastRenderedPageBreak/>
        <w:t>Cuando el diferencial anterior es positivo se denomina Diferencial de Compensación por Galón, cuando es negativo se denomina Diferencial de Participación por galón. </w:t>
      </w:r>
    </w:p>
    <w:p w:rsidR="006A6F4C" w:rsidRPr="00197AF3" w:rsidRDefault="006A6F4C" w:rsidP="00C31D20">
      <w:pPr>
        <w:contextualSpacing/>
        <w:jc w:val="both"/>
        <w:rPr>
          <w:rFonts w:ascii="Arial" w:hAnsi="Arial" w:cs="Arial"/>
          <w:color w:val="000000" w:themeColor="text1"/>
        </w:rPr>
      </w:pPr>
      <w:r w:rsidRPr="00197AF3">
        <w:rPr>
          <w:rFonts w:ascii="Arial" w:hAnsi="Arial" w:cs="Arial"/>
          <w:color w:val="000000" w:themeColor="text1"/>
        </w:rPr>
        <w:t>  </w:t>
      </w:r>
    </w:p>
    <w:p w:rsidR="006A6F4C" w:rsidRPr="00197AF3" w:rsidRDefault="006A6F4C" w:rsidP="00C31D20">
      <w:pPr>
        <w:contextualSpacing/>
        <w:jc w:val="both"/>
        <w:rPr>
          <w:rFonts w:ascii="Arial" w:hAnsi="Arial" w:cs="Arial"/>
          <w:color w:val="000000" w:themeColor="text1"/>
        </w:rPr>
      </w:pPr>
      <w:r w:rsidRPr="00197AF3">
        <w:rPr>
          <w:rFonts w:ascii="Arial" w:hAnsi="Arial" w:cs="Arial"/>
          <w:b/>
          <w:bCs/>
          <w:color w:val="000000" w:themeColor="text1"/>
        </w:rPr>
        <w:t>Precio en la fecha de cálculo de la Gasolina Motor Corriente Paridad Exportación - Producción Nacional PPE</w:t>
      </w:r>
      <w:r w:rsidRPr="00197AF3">
        <w:rPr>
          <w:rFonts w:ascii="Cambria Math" w:hAnsi="Cambria Math" w:cs="Cambria Math"/>
          <w:b/>
          <w:bCs/>
          <w:color w:val="000000" w:themeColor="text1"/>
        </w:rPr>
        <w:t>𝑡</w:t>
      </w:r>
      <w:r w:rsidRPr="00197AF3">
        <w:rPr>
          <w:rFonts w:ascii="Arial" w:hAnsi="Arial" w:cs="Arial"/>
          <w:b/>
          <w:bCs/>
          <w:color w:val="000000" w:themeColor="text1"/>
        </w:rPr>
        <w:t>:</w:t>
      </w:r>
      <w:r w:rsidRPr="00197AF3">
        <w:rPr>
          <w:rFonts w:ascii="Arial" w:hAnsi="Arial" w:cs="Arial"/>
          <w:color w:val="000000" w:themeColor="text1"/>
        </w:rPr>
        <w:t> Corresponde al último precio paridad exportación diario de la Gasolina Motor de producción nacional - </w:t>
      </w:r>
      <w:r w:rsidRPr="00197AF3">
        <w:rPr>
          <w:rFonts w:ascii="Arial" w:hAnsi="Arial" w:cs="Arial"/>
          <w:b/>
          <w:bCs/>
          <w:color w:val="000000" w:themeColor="text1"/>
        </w:rPr>
        <w:t>PPE</w:t>
      </w:r>
      <w:r w:rsidRPr="00197AF3">
        <w:rPr>
          <w:rFonts w:ascii="Cambria Math" w:hAnsi="Cambria Math" w:cs="Cambria Math"/>
          <w:b/>
          <w:bCs/>
          <w:color w:val="000000" w:themeColor="text1"/>
        </w:rPr>
        <w:t>𝑡</w:t>
      </w:r>
      <w:r w:rsidRPr="00197AF3">
        <w:rPr>
          <w:rFonts w:ascii="Arial" w:hAnsi="Arial" w:cs="Arial"/>
          <w:color w:val="000000" w:themeColor="text1"/>
        </w:rPr>
        <w:t xml:space="preserve">, referenciado al mercado del Golfo de los Estados Unidos de América, disponible en la fecha de cálculo de acuerdo al rezago en los datos reportados por la publicación </w:t>
      </w:r>
      <w:proofErr w:type="spellStart"/>
      <w:r w:rsidRPr="00197AF3">
        <w:rPr>
          <w:rFonts w:ascii="Arial" w:hAnsi="Arial" w:cs="Arial"/>
          <w:color w:val="000000" w:themeColor="text1"/>
        </w:rPr>
        <w:t>PLATT's</w:t>
      </w:r>
      <w:proofErr w:type="spellEnd"/>
      <w:r w:rsidRPr="00197AF3">
        <w:rPr>
          <w:rFonts w:ascii="Arial" w:hAnsi="Arial" w:cs="Arial"/>
          <w:color w:val="000000" w:themeColor="text1"/>
        </w:rPr>
        <w:t xml:space="preserve"> de Standard &amp; </w:t>
      </w:r>
      <w:proofErr w:type="spellStart"/>
      <w:r w:rsidRPr="00197AF3">
        <w:rPr>
          <w:rFonts w:ascii="Arial" w:hAnsi="Arial" w:cs="Arial"/>
          <w:color w:val="000000" w:themeColor="text1"/>
        </w:rPr>
        <w:t>Poor's</w:t>
      </w:r>
      <w:proofErr w:type="spellEnd"/>
      <w:r w:rsidRPr="00197AF3">
        <w:rPr>
          <w:rFonts w:ascii="Arial" w:hAnsi="Arial" w:cs="Arial"/>
          <w:color w:val="000000" w:themeColor="text1"/>
        </w:rPr>
        <w:t>. </w:t>
      </w:r>
    </w:p>
    <w:p w:rsidR="006A6F4C" w:rsidRPr="00197AF3" w:rsidRDefault="006A6F4C" w:rsidP="00C31D20">
      <w:pPr>
        <w:contextualSpacing/>
        <w:jc w:val="both"/>
        <w:rPr>
          <w:rFonts w:ascii="Arial" w:hAnsi="Arial" w:cs="Arial"/>
          <w:color w:val="000000" w:themeColor="text1"/>
        </w:rPr>
      </w:pPr>
      <w:r w:rsidRPr="00197AF3">
        <w:rPr>
          <w:rFonts w:ascii="Arial" w:hAnsi="Arial" w:cs="Arial"/>
          <w:color w:val="000000" w:themeColor="text1"/>
        </w:rPr>
        <w:t>  </w:t>
      </w:r>
    </w:p>
    <w:p w:rsidR="006A6F4C" w:rsidRPr="00197AF3" w:rsidRDefault="006A6F4C" w:rsidP="00C31D20">
      <w:pPr>
        <w:contextualSpacing/>
        <w:jc w:val="both"/>
        <w:rPr>
          <w:rFonts w:ascii="Arial" w:hAnsi="Arial" w:cs="Arial"/>
          <w:color w:val="000000" w:themeColor="text1"/>
        </w:rPr>
      </w:pPr>
      <w:r w:rsidRPr="00197AF3">
        <w:rPr>
          <w:rFonts w:ascii="Arial" w:hAnsi="Arial" w:cs="Arial"/>
          <w:b/>
          <w:bCs/>
          <w:color w:val="000000" w:themeColor="text1"/>
        </w:rPr>
        <w:t>Tendencia diaria b:</w:t>
      </w:r>
      <w:r w:rsidRPr="00197AF3">
        <w:rPr>
          <w:rFonts w:ascii="Arial" w:hAnsi="Arial" w:cs="Arial"/>
          <w:color w:val="000000" w:themeColor="text1"/>
        </w:rPr>
        <w:t> Corresponde al coeficiente de la pendiente que resulta de una línea de regresión por mínimos cuadrados ordinarios para los datos disponibles de los últimos sesenta (60) días calendario del logaritmo natural del precio paridad exportación diario de la Gasolina Motor de producción nacional - PPE</w:t>
      </w:r>
      <w:r w:rsidRPr="00197AF3">
        <w:rPr>
          <w:rFonts w:ascii="Cambria Math" w:hAnsi="Cambria Math" w:cs="Cambria Math"/>
          <w:color w:val="000000" w:themeColor="text1"/>
        </w:rPr>
        <w:t>𝑡</w:t>
      </w:r>
      <w:r w:rsidRPr="00197AF3">
        <w:rPr>
          <w:rFonts w:ascii="Arial" w:hAnsi="Arial" w:cs="Arial"/>
          <w:color w:val="000000" w:themeColor="text1"/>
        </w:rPr>
        <w:t>, referenciado al mercado del Golfo de los Estados Unidos de América, con respecto al tiempo medido en días utilizando la siguiente ecuación:</w:t>
      </w:r>
    </w:p>
    <w:p w:rsidR="006A6F4C" w:rsidRPr="00197AF3" w:rsidRDefault="006A6F4C" w:rsidP="00C31D20">
      <w:pPr>
        <w:contextualSpacing/>
        <w:jc w:val="both"/>
        <w:rPr>
          <w:rFonts w:ascii="Arial" w:hAnsi="Arial" w:cs="Arial"/>
          <w:color w:val="000000" w:themeColor="text1"/>
        </w:rPr>
      </w:pPr>
    </w:p>
    <w:p w:rsidR="006A6F4C" w:rsidRPr="00197AF3" w:rsidRDefault="006A6F4C" w:rsidP="00C31D20">
      <w:pPr>
        <w:contextualSpacing/>
        <w:jc w:val="center"/>
        <w:rPr>
          <w:rFonts w:ascii="Arial" w:hAnsi="Arial" w:cs="Arial"/>
          <w:color w:val="000000" w:themeColor="text1"/>
        </w:rPr>
      </w:pPr>
      <w:proofErr w:type="spellStart"/>
      <w:r w:rsidRPr="00197AF3">
        <w:rPr>
          <w:rFonts w:ascii="Arial" w:hAnsi="Arial" w:cs="Arial"/>
          <w:b/>
          <w:bCs/>
          <w:color w:val="000000" w:themeColor="text1"/>
        </w:rPr>
        <w:t>Ln</w:t>
      </w:r>
      <w:proofErr w:type="spellEnd"/>
      <w:r w:rsidRPr="00197AF3">
        <w:rPr>
          <w:rFonts w:ascii="Arial" w:hAnsi="Arial" w:cs="Arial"/>
          <w:b/>
          <w:bCs/>
          <w:color w:val="000000" w:themeColor="text1"/>
        </w:rPr>
        <w:t xml:space="preserve"> PPE</w:t>
      </w:r>
      <w:r w:rsidRPr="00197AF3">
        <w:rPr>
          <w:rFonts w:ascii="Cambria Math" w:hAnsi="Cambria Math" w:cs="Cambria Math"/>
          <w:b/>
          <w:bCs/>
          <w:color w:val="000000" w:themeColor="text1"/>
        </w:rPr>
        <w:t>𝑡</w:t>
      </w:r>
      <w:r w:rsidRPr="00197AF3">
        <w:rPr>
          <w:rFonts w:ascii="Arial" w:hAnsi="Arial" w:cs="Arial"/>
          <w:b/>
          <w:bCs/>
          <w:color w:val="000000" w:themeColor="text1"/>
        </w:rPr>
        <w:t xml:space="preserve"> = a + b</w:t>
      </w:r>
      <w:r w:rsidRPr="00197AF3">
        <w:rPr>
          <w:rFonts w:ascii="Cambria Math" w:hAnsi="Cambria Math" w:cs="Cambria Math"/>
          <w:b/>
          <w:bCs/>
          <w:color w:val="000000" w:themeColor="text1"/>
        </w:rPr>
        <w:t>𝑡</w:t>
      </w:r>
    </w:p>
    <w:p w:rsidR="006A6F4C" w:rsidRPr="00197AF3" w:rsidRDefault="00F90048" w:rsidP="00C31D20">
      <w:pPr>
        <w:contextualSpacing/>
        <w:jc w:val="both"/>
        <w:rPr>
          <w:rFonts w:ascii="Arial" w:hAnsi="Arial" w:cs="Arial"/>
          <w:color w:val="000000" w:themeColor="text1"/>
        </w:rPr>
      </w:pPr>
      <w:r w:rsidRPr="00197AF3">
        <w:rPr>
          <w:rFonts w:ascii="Arial" w:hAnsi="Arial" w:cs="Arial"/>
          <w:color w:val="000000" w:themeColor="text1"/>
        </w:rPr>
        <w:t>Dónde</w:t>
      </w:r>
      <w:r w:rsidR="006A6F4C" w:rsidRPr="00197AF3">
        <w:rPr>
          <w:rFonts w:ascii="Arial" w:hAnsi="Arial" w:cs="Arial"/>
          <w:color w:val="000000" w:themeColor="text1"/>
        </w:rPr>
        <w:t>: </w:t>
      </w:r>
    </w:p>
    <w:tbl>
      <w:tblPr>
        <w:tblW w:w="0" w:type="auto"/>
        <w:tblCellSpacing w:w="0" w:type="dxa"/>
        <w:tblCellMar>
          <w:left w:w="0" w:type="dxa"/>
          <w:right w:w="0" w:type="dxa"/>
        </w:tblCellMar>
        <w:tblLook w:val="04A0" w:firstRow="1" w:lastRow="0" w:firstColumn="1" w:lastColumn="0" w:noHBand="0" w:noVBand="1"/>
      </w:tblPr>
      <w:tblGrid>
        <w:gridCol w:w="1380"/>
        <w:gridCol w:w="7688"/>
      </w:tblGrid>
      <w:tr w:rsidR="006A6F4C" w:rsidRPr="00197AF3" w:rsidTr="006A6F4C">
        <w:trPr>
          <w:tblCellSpacing w:w="0" w:type="dxa"/>
        </w:trPr>
        <w:tc>
          <w:tcPr>
            <w:tcW w:w="2190" w:type="dxa"/>
            <w:tcMar>
              <w:top w:w="0" w:type="dxa"/>
              <w:left w:w="115" w:type="dxa"/>
              <w:bottom w:w="0" w:type="dxa"/>
              <w:right w:w="115" w:type="dxa"/>
            </w:tcMar>
            <w:hideMark/>
          </w:tcPr>
          <w:p w:rsidR="006A6F4C" w:rsidRPr="00197AF3" w:rsidRDefault="006A6F4C" w:rsidP="00C31D20">
            <w:pPr>
              <w:spacing w:after="75"/>
              <w:contextualSpacing/>
              <w:jc w:val="both"/>
              <w:rPr>
                <w:rFonts w:ascii="Arial" w:hAnsi="Arial" w:cs="Arial"/>
                <w:color w:val="000000" w:themeColor="text1"/>
              </w:rPr>
            </w:pPr>
            <w:proofErr w:type="spellStart"/>
            <w:r w:rsidRPr="00197AF3">
              <w:rPr>
                <w:rFonts w:ascii="Arial" w:hAnsi="Arial" w:cs="Arial"/>
                <w:b/>
                <w:bCs/>
                <w:color w:val="000000" w:themeColor="text1"/>
              </w:rPr>
              <w:t>Ln</w:t>
            </w:r>
            <w:proofErr w:type="spellEnd"/>
            <w:r w:rsidRPr="00197AF3">
              <w:rPr>
                <w:rFonts w:ascii="Arial" w:hAnsi="Arial" w:cs="Arial"/>
                <w:b/>
                <w:bCs/>
                <w:color w:val="000000" w:themeColor="text1"/>
              </w:rPr>
              <w:t xml:space="preserve"> PPE</w:t>
            </w:r>
            <w:r w:rsidRPr="00197AF3">
              <w:rPr>
                <w:rFonts w:ascii="Cambria Math" w:hAnsi="Cambria Math" w:cs="Cambria Math"/>
                <w:b/>
                <w:bCs/>
                <w:color w:val="000000" w:themeColor="text1"/>
              </w:rPr>
              <w:t>𝑡</w:t>
            </w:r>
            <w:r w:rsidRPr="00197AF3">
              <w:rPr>
                <w:rFonts w:ascii="Arial" w:hAnsi="Arial" w:cs="Arial"/>
                <w:b/>
                <w:bCs/>
                <w:color w:val="000000" w:themeColor="text1"/>
              </w:rPr>
              <w:t>:</w:t>
            </w:r>
          </w:p>
        </w:tc>
        <w:tc>
          <w:tcPr>
            <w:tcW w:w="17610" w:type="dxa"/>
            <w:tcMar>
              <w:top w:w="0" w:type="dxa"/>
              <w:left w:w="115" w:type="dxa"/>
              <w:bottom w:w="0" w:type="dxa"/>
              <w:right w:w="115" w:type="dxa"/>
            </w:tcMar>
            <w:hideMark/>
          </w:tcPr>
          <w:p w:rsidR="006A6F4C" w:rsidRPr="00197AF3" w:rsidRDefault="006A6F4C" w:rsidP="00C31D20">
            <w:pPr>
              <w:spacing w:after="75"/>
              <w:contextualSpacing/>
              <w:jc w:val="both"/>
              <w:rPr>
                <w:rFonts w:ascii="Arial" w:hAnsi="Arial" w:cs="Arial"/>
                <w:color w:val="000000" w:themeColor="text1"/>
              </w:rPr>
            </w:pPr>
            <w:r w:rsidRPr="00197AF3">
              <w:rPr>
                <w:rFonts w:ascii="Arial" w:hAnsi="Arial" w:cs="Arial"/>
                <w:color w:val="000000" w:themeColor="text1"/>
              </w:rPr>
              <w:t>Corresponde al logaritmo natural del precio paridad exportación diario de</w:t>
            </w:r>
            <w:r>
              <w:rPr>
                <w:rFonts w:ascii="Arial" w:hAnsi="Arial" w:cs="Arial"/>
                <w:color w:val="000000" w:themeColor="text1"/>
              </w:rPr>
              <w:t xml:space="preserve"> la Gasolina Motor</w:t>
            </w:r>
            <w:r w:rsidRPr="00197AF3">
              <w:rPr>
                <w:rFonts w:ascii="Arial" w:hAnsi="Arial" w:cs="Arial"/>
                <w:color w:val="000000" w:themeColor="text1"/>
              </w:rPr>
              <w:t xml:space="preserve"> de producción nacional - PPE</w:t>
            </w:r>
            <w:r w:rsidRPr="00197AF3">
              <w:rPr>
                <w:rFonts w:ascii="Cambria Math" w:hAnsi="Cambria Math" w:cs="Cambria Math"/>
                <w:color w:val="000000" w:themeColor="text1"/>
              </w:rPr>
              <w:t>𝑡</w:t>
            </w:r>
            <w:r w:rsidRPr="00197AF3">
              <w:rPr>
                <w:rFonts w:ascii="Arial" w:hAnsi="Arial" w:cs="Arial"/>
                <w:color w:val="000000" w:themeColor="text1"/>
              </w:rPr>
              <w:t>, referenciado al mercado del Golfo de los Estados Unidos de América, expresado en pesos por galón.</w:t>
            </w:r>
          </w:p>
        </w:tc>
      </w:tr>
    </w:tbl>
    <w:p w:rsidR="006A6F4C" w:rsidRPr="00197AF3" w:rsidRDefault="006A6F4C" w:rsidP="00C31D20">
      <w:pPr>
        <w:contextualSpacing/>
        <w:jc w:val="both"/>
        <w:rPr>
          <w:rFonts w:ascii="Arial" w:hAnsi="Arial" w:cs="Arial"/>
          <w:color w:val="000000" w:themeColor="text1"/>
        </w:rPr>
      </w:pPr>
      <w:proofErr w:type="gramStart"/>
      <w:r>
        <w:rPr>
          <w:rFonts w:ascii="Arial" w:hAnsi="Arial" w:cs="Arial"/>
          <w:b/>
          <w:bCs/>
          <w:color w:val="000000" w:themeColor="text1"/>
        </w:rPr>
        <w:t>a</w:t>
      </w:r>
      <w:proofErr w:type="gramEnd"/>
      <w:r w:rsidRPr="00197AF3">
        <w:rPr>
          <w:rFonts w:ascii="Arial" w:hAnsi="Arial" w:cs="Arial"/>
          <w:b/>
          <w:bCs/>
          <w:color w:val="000000" w:themeColor="text1"/>
        </w:rPr>
        <w:t>:</w:t>
      </w:r>
      <w:r w:rsidRPr="00197AF3">
        <w:rPr>
          <w:rFonts w:ascii="Arial" w:hAnsi="Arial" w:cs="Arial"/>
          <w:color w:val="000000" w:themeColor="text1"/>
        </w:rPr>
        <w:t> Corresponde al valor del intercepto de la señalada ecuación.   </w:t>
      </w:r>
    </w:p>
    <w:p w:rsidR="006A6F4C" w:rsidRPr="00197AF3" w:rsidRDefault="006A6F4C" w:rsidP="00C31D20">
      <w:pPr>
        <w:contextualSpacing/>
        <w:jc w:val="both"/>
        <w:rPr>
          <w:rFonts w:ascii="Arial" w:hAnsi="Arial" w:cs="Arial"/>
          <w:color w:val="000000" w:themeColor="text1"/>
        </w:rPr>
      </w:pPr>
      <w:proofErr w:type="gramStart"/>
      <w:r w:rsidRPr="00197AF3">
        <w:rPr>
          <w:rFonts w:ascii="Arial" w:hAnsi="Arial" w:cs="Arial"/>
          <w:b/>
          <w:bCs/>
          <w:color w:val="000000" w:themeColor="text1"/>
        </w:rPr>
        <w:t>b</w:t>
      </w:r>
      <w:proofErr w:type="gramEnd"/>
      <w:r w:rsidRPr="00197AF3">
        <w:rPr>
          <w:rFonts w:ascii="Arial" w:hAnsi="Arial" w:cs="Arial"/>
          <w:b/>
          <w:bCs/>
          <w:color w:val="000000" w:themeColor="text1"/>
        </w:rPr>
        <w:t>:</w:t>
      </w:r>
      <w:r w:rsidRPr="00197AF3">
        <w:rPr>
          <w:rFonts w:ascii="Arial" w:hAnsi="Arial" w:cs="Arial"/>
          <w:color w:val="000000" w:themeColor="text1"/>
        </w:rPr>
        <w:t> Corresponde al coeficiente de pendiente o tendencia diaria. Indica cuál es, en promedio, el cambio porcentual diario en PPE</w:t>
      </w:r>
      <w:r w:rsidRPr="00197AF3">
        <w:rPr>
          <w:rFonts w:ascii="Cambria Math" w:hAnsi="Cambria Math" w:cs="Cambria Math"/>
          <w:color w:val="000000" w:themeColor="text1"/>
        </w:rPr>
        <w:t>𝑡</w:t>
      </w:r>
      <w:r w:rsidRPr="00197AF3">
        <w:rPr>
          <w:rFonts w:ascii="Arial" w:hAnsi="Arial" w:cs="Arial"/>
          <w:color w:val="000000" w:themeColor="text1"/>
        </w:rPr>
        <w:t>.   </w:t>
      </w:r>
    </w:p>
    <w:p w:rsidR="006A6F4C" w:rsidRDefault="006A6F4C" w:rsidP="00C31D20">
      <w:pPr>
        <w:contextualSpacing/>
        <w:jc w:val="both"/>
        <w:rPr>
          <w:rFonts w:ascii="Arial" w:hAnsi="Arial" w:cs="Arial"/>
          <w:color w:val="000000" w:themeColor="text1"/>
        </w:rPr>
      </w:pPr>
      <w:proofErr w:type="gramStart"/>
      <w:r w:rsidRPr="00197AF3">
        <w:rPr>
          <w:rFonts w:ascii="Arial" w:hAnsi="Arial" w:cs="Arial"/>
          <w:b/>
          <w:bCs/>
          <w:color w:val="000000" w:themeColor="text1"/>
        </w:rPr>
        <w:t>t</w:t>
      </w:r>
      <w:proofErr w:type="gramEnd"/>
      <w:r w:rsidRPr="00197AF3">
        <w:rPr>
          <w:rFonts w:ascii="Arial" w:hAnsi="Arial" w:cs="Arial"/>
          <w:b/>
          <w:bCs/>
          <w:color w:val="000000" w:themeColor="text1"/>
        </w:rPr>
        <w:t>:</w:t>
      </w:r>
      <w:r w:rsidRPr="00197AF3">
        <w:rPr>
          <w:rFonts w:ascii="Arial" w:hAnsi="Arial" w:cs="Arial"/>
          <w:color w:val="000000" w:themeColor="text1"/>
        </w:rPr>
        <w:t> Corresponde al tiempo medido en días.   </w:t>
      </w:r>
    </w:p>
    <w:p w:rsidR="006A6F4C" w:rsidRPr="00197AF3" w:rsidRDefault="006A6F4C" w:rsidP="00C31D20">
      <w:pPr>
        <w:contextualSpacing/>
        <w:jc w:val="both"/>
        <w:rPr>
          <w:rFonts w:ascii="Arial" w:hAnsi="Arial" w:cs="Arial"/>
          <w:color w:val="000000" w:themeColor="text1"/>
        </w:rPr>
      </w:pPr>
    </w:p>
    <w:p w:rsidR="006A6F4C" w:rsidRPr="00197AF3" w:rsidRDefault="006A6F4C" w:rsidP="00C31D20">
      <w:pPr>
        <w:contextualSpacing/>
        <w:jc w:val="both"/>
        <w:rPr>
          <w:rFonts w:ascii="Arial" w:hAnsi="Arial" w:cs="Arial"/>
          <w:color w:val="000000" w:themeColor="text1"/>
        </w:rPr>
      </w:pPr>
      <w:r w:rsidRPr="00197AF3">
        <w:rPr>
          <w:rFonts w:ascii="Arial" w:hAnsi="Arial" w:cs="Arial"/>
          <w:b/>
          <w:bCs/>
          <w:color w:val="000000" w:themeColor="text1"/>
        </w:rPr>
        <w:t xml:space="preserve">Tendencia </w:t>
      </w:r>
      <w:proofErr w:type="spellStart"/>
      <w:r w:rsidRPr="00197AF3">
        <w:rPr>
          <w:rFonts w:ascii="Arial" w:hAnsi="Arial" w:cs="Arial"/>
          <w:b/>
          <w:bCs/>
          <w:color w:val="000000" w:themeColor="text1"/>
        </w:rPr>
        <w:t>mensualizada</w:t>
      </w:r>
      <w:proofErr w:type="spellEnd"/>
      <w:r w:rsidRPr="00197AF3">
        <w:rPr>
          <w:rFonts w:ascii="Arial" w:hAnsi="Arial" w:cs="Arial"/>
          <w:b/>
          <w:bCs/>
          <w:color w:val="000000" w:themeColor="text1"/>
        </w:rPr>
        <w:t xml:space="preserve"> m:</w:t>
      </w:r>
      <w:r w:rsidRPr="00197AF3">
        <w:rPr>
          <w:rFonts w:ascii="Arial" w:hAnsi="Arial" w:cs="Arial"/>
          <w:color w:val="000000" w:themeColor="text1"/>
        </w:rPr>
        <w:t xml:space="preserve"> Corresponde al valor </w:t>
      </w:r>
      <w:proofErr w:type="spellStart"/>
      <w:r w:rsidRPr="00197AF3">
        <w:rPr>
          <w:rFonts w:ascii="Arial" w:hAnsi="Arial" w:cs="Arial"/>
          <w:color w:val="000000" w:themeColor="text1"/>
        </w:rPr>
        <w:t>mensualizado</w:t>
      </w:r>
      <w:proofErr w:type="spellEnd"/>
      <w:r w:rsidRPr="00197AF3">
        <w:rPr>
          <w:rFonts w:ascii="Arial" w:hAnsi="Arial" w:cs="Arial"/>
          <w:color w:val="000000" w:themeColor="text1"/>
        </w:rPr>
        <w:t xml:space="preserve"> del coeficiente de pendiente b y se calculará de la siguiente manera: </w:t>
      </w:r>
    </w:p>
    <w:p w:rsidR="006A6F4C" w:rsidRPr="00197AF3" w:rsidRDefault="006A6F4C" w:rsidP="00C31D20">
      <w:pPr>
        <w:contextualSpacing/>
        <w:jc w:val="both"/>
        <w:rPr>
          <w:rFonts w:ascii="Arial" w:hAnsi="Arial" w:cs="Arial"/>
          <w:color w:val="000000" w:themeColor="text1"/>
        </w:rPr>
      </w:pPr>
    </w:p>
    <w:p w:rsidR="006A6F4C" w:rsidRPr="00197AF3" w:rsidRDefault="006A6F4C" w:rsidP="00C31D20">
      <w:pPr>
        <w:contextualSpacing/>
        <w:jc w:val="center"/>
        <w:rPr>
          <w:rFonts w:ascii="Arial" w:hAnsi="Arial" w:cs="Arial"/>
          <w:color w:val="000000" w:themeColor="text1"/>
        </w:rPr>
      </w:pPr>
      <w:r w:rsidRPr="00197AF3">
        <w:rPr>
          <w:rFonts w:ascii="Arial" w:hAnsi="Arial" w:cs="Arial"/>
          <w:b/>
          <w:bCs/>
          <w:color w:val="000000" w:themeColor="text1"/>
        </w:rPr>
        <w:t>m = (1 + b)n - 1</w:t>
      </w:r>
      <w:r w:rsidRPr="00197AF3">
        <w:rPr>
          <w:rFonts w:ascii="Arial" w:hAnsi="Arial" w:cs="Arial"/>
          <w:color w:val="000000" w:themeColor="text1"/>
        </w:rPr>
        <w:t> </w:t>
      </w:r>
    </w:p>
    <w:p w:rsidR="006A6F4C" w:rsidRPr="00197AF3" w:rsidRDefault="00F90048" w:rsidP="00C31D20">
      <w:pPr>
        <w:contextualSpacing/>
        <w:jc w:val="both"/>
        <w:rPr>
          <w:rFonts w:ascii="Arial" w:hAnsi="Arial" w:cs="Arial"/>
          <w:color w:val="000000" w:themeColor="text1"/>
        </w:rPr>
      </w:pPr>
      <w:r w:rsidRPr="00197AF3">
        <w:rPr>
          <w:rFonts w:ascii="Arial" w:hAnsi="Arial" w:cs="Arial"/>
          <w:color w:val="000000" w:themeColor="text1"/>
        </w:rPr>
        <w:t>Dónde</w:t>
      </w:r>
      <w:r w:rsidR="006A6F4C" w:rsidRPr="00197AF3">
        <w:rPr>
          <w:rFonts w:ascii="Arial" w:hAnsi="Arial" w:cs="Arial"/>
          <w:color w:val="000000" w:themeColor="text1"/>
        </w:rPr>
        <w:t>: </w:t>
      </w:r>
    </w:p>
    <w:tbl>
      <w:tblPr>
        <w:tblW w:w="0" w:type="auto"/>
        <w:tblCellSpacing w:w="0" w:type="dxa"/>
        <w:tblCellMar>
          <w:left w:w="0" w:type="dxa"/>
          <w:right w:w="0" w:type="dxa"/>
        </w:tblCellMar>
        <w:tblLook w:val="04A0" w:firstRow="1" w:lastRow="0" w:firstColumn="1" w:lastColumn="0" w:noHBand="0" w:noVBand="1"/>
      </w:tblPr>
      <w:tblGrid>
        <w:gridCol w:w="457"/>
        <w:gridCol w:w="8611"/>
      </w:tblGrid>
      <w:tr w:rsidR="006A6F4C" w:rsidRPr="00197AF3" w:rsidTr="006A6F4C">
        <w:trPr>
          <w:tblCellSpacing w:w="0" w:type="dxa"/>
        </w:trPr>
        <w:tc>
          <w:tcPr>
            <w:tcW w:w="390" w:type="dxa"/>
            <w:tcMar>
              <w:top w:w="0" w:type="dxa"/>
              <w:left w:w="115" w:type="dxa"/>
              <w:bottom w:w="0" w:type="dxa"/>
              <w:right w:w="115" w:type="dxa"/>
            </w:tcMar>
            <w:hideMark/>
          </w:tcPr>
          <w:p w:rsidR="006A6F4C" w:rsidRPr="00197AF3" w:rsidRDefault="006A6F4C" w:rsidP="00C31D20">
            <w:pPr>
              <w:spacing w:after="75"/>
              <w:contextualSpacing/>
              <w:jc w:val="both"/>
              <w:rPr>
                <w:rFonts w:ascii="Arial" w:hAnsi="Arial" w:cs="Arial"/>
                <w:color w:val="000000" w:themeColor="text1"/>
              </w:rPr>
            </w:pPr>
            <w:r w:rsidRPr="00197AF3">
              <w:rPr>
                <w:rFonts w:ascii="Arial" w:hAnsi="Arial" w:cs="Arial"/>
                <w:b/>
                <w:bCs/>
                <w:color w:val="000000" w:themeColor="text1"/>
              </w:rPr>
              <w:t>n:</w:t>
            </w:r>
          </w:p>
        </w:tc>
        <w:tc>
          <w:tcPr>
            <w:tcW w:w="9645" w:type="dxa"/>
            <w:tcMar>
              <w:top w:w="0" w:type="dxa"/>
              <w:left w:w="115" w:type="dxa"/>
              <w:bottom w:w="0" w:type="dxa"/>
              <w:right w:w="115" w:type="dxa"/>
            </w:tcMar>
            <w:hideMark/>
          </w:tcPr>
          <w:p w:rsidR="006A6F4C" w:rsidRDefault="006A6F4C" w:rsidP="00C31D20">
            <w:pPr>
              <w:spacing w:after="75"/>
              <w:contextualSpacing/>
              <w:jc w:val="both"/>
              <w:rPr>
                <w:rFonts w:ascii="Arial" w:hAnsi="Arial" w:cs="Arial"/>
                <w:color w:val="000000" w:themeColor="text1"/>
              </w:rPr>
            </w:pPr>
            <w:r w:rsidRPr="00197AF3">
              <w:rPr>
                <w:rFonts w:ascii="Arial" w:hAnsi="Arial" w:cs="Arial"/>
                <w:color w:val="000000" w:themeColor="text1"/>
              </w:rPr>
              <w:t>Corresponde al número de días hábiles con datos disponibles del mes en el cual se está realizando el cálculo.</w:t>
            </w:r>
          </w:p>
          <w:p w:rsidR="006A6F4C" w:rsidRPr="00197AF3" w:rsidRDefault="006A6F4C" w:rsidP="00C31D20">
            <w:pPr>
              <w:spacing w:after="75"/>
              <w:contextualSpacing/>
              <w:jc w:val="both"/>
              <w:rPr>
                <w:rFonts w:ascii="Arial" w:hAnsi="Arial" w:cs="Arial"/>
                <w:color w:val="000000" w:themeColor="text1"/>
              </w:rPr>
            </w:pPr>
          </w:p>
        </w:tc>
      </w:tr>
    </w:tbl>
    <w:p w:rsidR="006A6F4C" w:rsidRDefault="006A6F4C" w:rsidP="00C31D20">
      <w:pPr>
        <w:contextualSpacing/>
        <w:jc w:val="both"/>
        <w:rPr>
          <w:rFonts w:ascii="Arial" w:hAnsi="Arial" w:cs="Arial"/>
          <w:color w:val="000000" w:themeColor="text1"/>
        </w:rPr>
      </w:pPr>
      <w:r w:rsidRPr="00197AF3">
        <w:rPr>
          <w:rFonts w:ascii="Arial" w:hAnsi="Arial" w:cs="Arial"/>
          <w:b/>
          <w:bCs/>
          <w:color w:val="000000" w:themeColor="text1"/>
        </w:rPr>
        <w:t>Parágrafo.</w:t>
      </w:r>
      <w:r w:rsidRPr="00197AF3">
        <w:rPr>
          <w:rFonts w:ascii="Arial" w:hAnsi="Arial" w:cs="Arial"/>
          <w:color w:val="000000" w:themeColor="text1"/>
        </w:rPr>
        <w:t xml:space="preserve"> Para efectos del cálculo del </w:t>
      </w:r>
      <w:r>
        <w:rPr>
          <w:rFonts w:ascii="Arial" w:hAnsi="Arial" w:cs="Arial"/>
          <w:color w:val="000000" w:themeColor="text1"/>
        </w:rPr>
        <w:t xml:space="preserve">valor de referencia </w:t>
      </w:r>
      <w:r w:rsidRPr="00197AF3">
        <w:rPr>
          <w:rFonts w:ascii="Arial" w:hAnsi="Arial" w:cs="Arial"/>
          <w:color w:val="000000" w:themeColor="text1"/>
        </w:rPr>
        <w:t xml:space="preserve">para un determinado mes, la siguiente tabla señala los escenarios aplicables, según el valor del diferencial de compensación o participación en la fecha de cálculo, según </w:t>
      </w:r>
      <w:r w:rsidRPr="00197AF3">
        <w:rPr>
          <w:rFonts w:ascii="Arial" w:hAnsi="Arial" w:cs="Arial"/>
          <w:color w:val="000000" w:themeColor="text1"/>
        </w:rPr>
        <w:lastRenderedPageBreak/>
        <w:t xml:space="preserve">corresponda, y de la tendencia </w:t>
      </w:r>
      <w:proofErr w:type="spellStart"/>
      <w:r w:rsidRPr="00197AF3">
        <w:rPr>
          <w:rFonts w:ascii="Arial" w:hAnsi="Arial" w:cs="Arial"/>
          <w:color w:val="000000" w:themeColor="text1"/>
        </w:rPr>
        <w:t>mensualizada</w:t>
      </w:r>
      <w:proofErr w:type="spellEnd"/>
      <w:r w:rsidRPr="00197AF3">
        <w:rPr>
          <w:rFonts w:ascii="Arial" w:hAnsi="Arial" w:cs="Arial"/>
          <w:color w:val="000000" w:themeColor="text1"/>
        </w:rPr>
        <w:t xml:space="preserve"> m, calculados de acuerdo con las definiciones cont</w:t>
      </w:r>
      <w:r>
        <w:rPr>
          <w:rFonts w:ascii="Arial" w:hAnsi="Arial" w:cs="Arial"/>
          <w:color w:val="000000" w:themeColor="text1"/>
        </w:rPr>
        <w:t>enidas en la presente ley</w:t>
      </w:r>
      <w:r w:rsidRPr="00197AF3">
        <w:rPr>
          <w:rFonts w:ascii="Arial" w:hAnsi="Arial" w:cs="Arial"/>
          <w:color w:val="000000" w:themeColor="text1"/>
        </w:rPr>
        <w:t>: </w:t>
      </w:r>
    </w:p>
    <w:p w:rsidR="006A6F4C" w:rsidRPr="00197AF3" w:rsidRDefault="006A6F4C" w:rsidP="00C31D20">
      <w:pPr>
        <w:contextualSpacing/>
        <w:jc w:val="both"/>
        <w:rPr>
          <w:rFonts w:ascii="Arial" w:hAnsi="Arial" w:cs="Arial"/>
          <w:color w:val="000000" w:themeColor="text1"/>
        </w:rPr>
      </w:pPr>
    </w:p>
    <w:tbl>
      <w:tblPr>
        <w:tblW w:w="4000" w:type="pct"/>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56"/>
        <w:gridCol w:w="2300"/>
        <w:gridCol w:w="2386"/>
      </w:tblGrid>
      <w:tr w:rsidR="006A6F4C" w:rsidRPr="006261F6" w:rsidTr="006A6F4C">
        <w:trPr>
          <w:tblCellSpacing w:w="15" w:type="dxa"/>
          <w:jc w:val="center"/>
        </w:trPr>
        <w:tc>
          <w:tcPr>
            <w:tcW w:w="1700" w:type="pct"/>
            <w:tcBorders>
              <w:top w:val="outset" w:sz="6" w:space="0" w:color="auto"/>
              <w:left w:val="outset" w:sz="6" w:space="0" w:color="auto"/>
              <w:bottom w:val="outset" w:sz="6" w:space="0" w:color="auto"/>
              <w:right w:val="outset" w:sz="6" w:space="0" w:color="auto"/>
            </w:tcBorders>
            <w:vAlign w:val="center"/>
            <w:hideMark/>
          </w:tcPr>
          <w:p w:rsidR="006A6F4C" w:rsidRPr="006261F6" w:rsidRDefault="006A6F4C" w:rsidP="00C31D20">
            <w:pPr>
              <w:contextualSpacing/>
              <w:jc w:val="both"/>
              <w:rPr>
                <w:rFonts w:ascii="Arial" w:hAnsi="Arial" w:cs="Arial"/>
                <w:color w:val="000000" w:themeColor="text1"/>
                <w:sz w:val="16"/>
                <w:szCs w:val="16"/>
              </w:rPr>
            </w:pPr>
            <w:r w:rsidRPr="006261F6">
              <w:rPr>
                <w:rFonts w:ascii="Arial" w:hAnsi="Arial" w:cs="Arial"/>
                <w:color w:val="000000" w:themeColor="text1"/>
                <w:sz w:val="16"/>
                <w:szCs w:val="16"/>
              </w:rPr>
              <w:t> </w:t>
            </w:r>
          </w:p>
        </w:tc>
        <w:tc>
          <w:tcPr>
            <w:tcW w:w="1600" w:type="pct"/>
            <w:tcBorders>
              <w:top w:val="outset" w:sz="6" w:space="0" w:color="auto"/>
              <w:left w:val="outset" w:sz="6" w:space="0" w:color="auto"/>
              <w:bottom w:val="outset" w:sz="6" w:space="0" w:color="auto"/>
              <w:right w:val="outset" w:sz="6" w:space="0" w:color="auto"/>
            </w:tcBorders>
            <w:vAlign w:val="center"/>
            <w:hideMark/>
          </w:tcPr>
          <w:p w:rsidR="006A6F4C" w:rsidRPr="006261F6" w:rsidRDefault="006A6F4C" w:rsidP="00C31D20">
            <w:pPr>
              <w:contextualSpacing/>
              <w:jc w:val="center"/>
              <w:rPr>
                <w:rFonts w:ascii="Arial" w:hAnsi="Arial" w:cs="Arial"/>
                <w:color w:val="000000" w:themeColor="text1"/>
                <w:sz w:val="16"/>
                <w:szCs w:val="16"/>
              </w:rPr>
            </w:pPr>
            <w:r w:rsidRPr="006261F6">
              <w:rPr>
                <w:rFonts w:ascii="Arial" w:hAnsi="Arial" w:cs="Arial"/>
                <w:b/>
                <w:bCs/>
                <w:color w:val="000000" w:themeColor="text1"/>
                <w:sz w:val="16"/>
                <w:szCs w:val="16"/>
              </w:rPr>
              <w:t>Diferencial positivo en la fecha de cálculo</w:t>
            </w:r>
          </w:p>
        </w:tc>
        <w:tc>
          <w:tcPr>
            <w:tcW w:w="1650" w:type="pct"/>
            <w:tcBorders>
              <w:top w:val="outset" w:sz="6" w:space="0" w:color="auto"/>
              <w:left w:val="outset" w:sz="6" w:space="0" w:color="auto"/>
              <w:bottom w:val="outset" w:sz="6" w:space="0" w:color="auto"/>
              <w:right w:val="outset" w:sz="6" w:space="0" w:color="auto"/>
            </w:tcBorders>
            <w:vAlign w:val="center"/>
            <w:hideMark/>
          </w:tcPr>
          <w:p w:rsidR="006A6F4C" w:rsidRPr="006261F6" w:rsidRDefault="006A6F4C" w:rsidP="00C31D20">
            <w:pPr>
              <w:contextualSpacing/>
              <w:jc w:val="center"/>
              <w:rPr>
                <w:rFonts w:ascii="Arial" w:hAnsi="Arial" w:cs="Arial"/>
                <w:color w:val="000000" w:themeColor="text1"/>
                <w:sz w:val="16"/>
                <w:szCs w:val="16"/>
              </w:rPr>
            </w:pPr>
            <w:r w:rsidRPr="006261F6">
              <w:rPr>
                <w:rFonts w:ascii="Arial" w:hAnsi="Arial" w:cs="Arial"/>
                <w:b/>
                <w:bCs/>
                <w:color w:val="000000" w:themeColor="text1"/>
                <w:sz w:val="16"/>
                <w:szCs w:val="16"/>
              </w:rPr>
              <w:t>Diferencial negativo en la fecha de cálculo</w:t>
            </w:r>
          </w:p>
        </w:tc>
      </w:tr>
      <w:tr w:rsidR="006A6F4C" w:rsidRPr="006261F6" w:rsidTr="006A6F4C">
        <w:trPr>
          <w:tblCellSpacing w:w="15" w:type="dxa"/>
          <w:jc w:val="center"/>
        </w:trPr>
        <w:tc>
          <w:tcPr>
            <w:tcW w:w="1700" w:type="pct"/>
            <w:tcBorders>
              <w:top w:val="outset" w:sz="6" w:space="0" w:color="auto"/>
              <w:left w:val="outset" w:sz="6" w:space="0" w:color="auto"/>
              <w:bottom w:val="outset" w:sz="6" w:space="0" w:color="auto"/>
              <w:right w:val="outset" w:sz="6" w:space="0" w:color="auto"/>
            </w:tcBorders>
            <w:vAlign w:val="center"/>
            <w:hideMark/>
          </w:tcPr>
          <w:p w:rsidR="006A6F4C" w:rsidRPr="006261F6" w:rsidRDefault="006A6F4C" w:rsidP="00C31D20">
            <w:pPr>
              <w:contextualSpacing/>
              <w:jc w:val="center"/>
              <w:rPr>
                <w:rFonts w:ascii="Arial" w:hAnsi="Arial" w:cs="Arial"/>
                <w:color w:val="000000" w:themeColor="text1"/>
                <w:sz w:val="16"/>
                <w:szCs w:val="16"/>
              </w:rPr>
            </w:pPr>
            <w:r w:rsidRPr="006261F6">
              <w:rPr>
                <w:rFonts w:ascii="Arial" w:hAnsi="Arial" w:cs="Arial"/>
                <w:color w:val="000000" w:themeColor="text1"/>
                <w:sz w:val="16"/>
                <w:szCs w:val="16"/>
              </w:rPr>
              <w:t>Tendencia creciente (m≥0)</w:t>
            </w:r>
          </w:p>
        </w:tc>
        <w:tc>
          <w:tcPr>
            <w:tcW w:w="1600" w:type="pct"/>
            <w:tcBorders>
              <w:top w:val="outset" w:sz="6" w:space="0" w:color="auto"/>
              <w:left w:val="outset" w:sz="6" w:space="0" w:color="auto"/>
              <w:bottom w:val="outset" w:sz="6" w:space="0" w:color="auto"/>
              <w:right w:val="outset" w:sz="6" w:space="0" w:color="auto"/>
            </w:tcBorders>
            <w:vAlign w:val="center"/>
            <w:hideMark/>
          </w:tcPr>
          <w:p w:rsidR="006A6F4C" w:rsidRPr="006261F6" w:rsidRDefault="006A6F4C" w:rsidP="00C31D20">
            <w:pPr>
              <w:contextualSpacing/>
              <w:jc w:val="center"/>
              <w:rPr>
                <w:rFonts w:ascii="Arial" w:hAnsi="Arial" w:cs="Arial"/>
                <w:color w:val="000000" w:themeColor="text1"/>
                <w:sz w:val="16"/>
                <w:szCs w:val="16"/>
              </w:rPr>
            </w:pPr>
            <w:r>
              <w:rPr>
                <w:rFonts w:ascii="Arial" w:hAnsi="Arial" w:cs="Arial"/>
                <w:color w:val="000000" w:themeColor="text1"/>
                <w:sz w:val="16"/>
                <w:szCs w:val="16"/>
              </w:rPr>
              <w:t>c=min [m, 3</w:t>
            </w:r>
            <w:r w:rsidRPr="006261F6">
              <w:rPr>
                <w:rFonts w:ascii="Arial" w:hAnsi="Arial" w:cs="Arial"/>
                <w:color w:val="000000" w:themeColor="text1"/>
                <w:sz w:val="16"/>
                <w:szCs w:val="16"/>
              </w:rPr>
              <w:t>%]</w:t>
            </w:r>
          </w:p>
        </w:tc>
        <w:tc>
          <w:tcPr>
            <w:tcW w:w="1650" w:type="pct"/>
            <w:tcBorders>
              <w:top w:val="outset" w:sz="6" w:space="0" w:color="auto"/>
              <w:left w:val="outset" w:sz="6" w:space="0" w:color="auto"/>
              <w:bottom w:val="outset" w:sz="6" w:space="0" w:color="auto"/>
              <w:right w:val="outset" w:sz="6" w:space="0" w:color="auto"/>
            </w:tcBorders>
            <w:vAlign w:val="center"/>
            <w:hideMark/>
          </w:tcPr>
          <w:p w:rsidR="006A6F4C" w:rsidRPr="006261F6" w:rsidRDefault="006A6F4C" w:rsidP="00C31D20">
            <w:pPr>
              <w:contextualSpacing/>
              <w:jc w:val="center"/>
              <w:rPr>
                <w:rFonts w:ascii="Arial" w:hAnsi="Arial" w:cs="Arial"/>
                <w:color w:val="000000" w:themeColor="text1"/>
                <w:sz w:val="16"/>
                <w:szCs w:val="16"/>
              </w:rPr>
            </w:pPr>
            <w:r w:rsidRPr="006261F6">
              <w:rPr>
                <w:rFonts w:ascii="Arial" w:hAnsi="Arial" w:cs="Arial"/>
                <w:color w:val="000000" w:themeColor="text1"/>
                <w:sz w:val="16"/>
                <w:szCs w:val="16"/>
              </w:rPr>
              <w:t>c=0</w:t>
            </w:r>
          </w:p>
        </w:tc>
      </w:tr>
      <w:tr w:rsidR="006A6F4C" w:rsidRPr="006261F6" w:rsidTr="006A6F4C">
        <w:trPr>
          <w:tblCellSpacing w:w="15" w:type="dxa"/>
          <w:jc w:val="center"/>
        </w:trPr>
        <w:tc>
          <w:tcPr>
            <w:tcW w:w="1700" w:type="pct"/>
            <w:tcBorders>
              <w:top w:val="outset" w:sz="6" w:space="0" w:color="auto"/>
              <w:left w:val="outset" w:sz="6" w:space="0" w:color="auto"/>
              <w:bottom w:val="outset" w:sz="6" w:space="0" w:color="auto"/>
              <w:right w:val="outset" w:sz="6" w:space="0" w:color="auto"/>
            </w:tcBorders>
            <w:vAlign w:val="center"/>
            <w:hideMark/>
          </w:tcPr>
          <w:p w:rsidR="006A6F4C" w:rsidRPr="006261F6" w:rsidRDefault="006A6F4C" w:rsidP="00C31D20">
            <w:pPr>
              <w:contextualSpacing/>
              <w:jc w:val="center"/>
              <w:rPr>
                <w:rFonts w:ascii="Arial" w:hAnsi="Arial" w:cs="Arial"/>
                <w:color w:val="000000" w:themeColor="text1"/>
                <w:sz w:val="16"/>
                <w:szCs w:val="16"/>
              </w:rPr>
            </w:pPr>
            <w:r w:rsidRPr="006261F6">
              <w:rPr>
                <w:rFonts w:ascii="Arial" w:hAnsi="Arial" w:cs="Arial"/>
                <w:color w:val="000000" w:themeColor="text1"/>
                <w:sz w:val="16"/>
                <w:szCs w:val="16"/>
              </w:rPr>
              <w:t>Tendencia decreciente (m&lt;0)</w:t>
            </w:r>
          </w:p>
        </w:tc>
        <w:tc>
          <w:tcPr>
            <w:tcW w:w="1600" w:type="pct"/>
            <w:tcBorders>
              <w:top w:val="outset" w:sz="6" w:space="0" w:color="auto"/>
              <w:left w:val="outset" w:sz="6" w:space="0" w:color="auto"/>
              <w:bottom w:val="outset" w:sz="6" w:space="0" w:color="auto"/>
              <w:right w:val="outset" w:sz="6" w:space="0" w:color="auto"/>
            </w:tcBorders>
            <w:vAlign w:val="center"/>
            <w:hideMark/>
          </w:tcPr>
          <w:p w:rsidR="006A6F4C" w:rsidRPr="006261F6" w:rsidRDefault="006A6F4C" w:rsidP="00C31D20">
            <w:pPr>
              <w:contextualSpacing/>
              <w:jc w:val="center"/>
              <w:rPr>
                <w:rFonts w:ascii="Arial" w:hAnsi="Arial" w:cs="Arial"/>
                <w:color w:val="000000" w:themeColor="text1"/>
                <w:sz w:val="16"/>
                <w:szCs w:val="16"/>
              </w:rPr>
            </w:pPr>
            <w:r w:rsidRPr="006261F6">
              <w:rPr>
                <w:rFonts w:ascii="Arial" w:hAnsi="Arial" w:cs="Arial"/>
                <w:color w:val="000000" w:themeColor="text1"/>
                <w:sz w:val="16"/>
                <w:szCs w:val="16"/>
              </w:rPr>
              <w:t>c=0</w:t>
            </w:r>
          </w:p>
        </w:tc>
        <w:tc>
          <w:tcPr>
            <w:tcW w:w="1650" w:type="pct"/>
            <w:tcBorders>
              <w:top w:val="outset" w:sz="6" w:space="0" w:color="auto"/>
              <w:left w:val="outset" w:sz="6" w:space="0" w:color="auto"/>
              <w:bottom w:val="outset" w:sz="6" w:space="0" w:color="auto"/>
              <w:right w:val="outset" w:sz="6" w:space="0" w:color="auto"/>
            </w:tcBorders>
            <w:vAlign w:val="center"/>
            <w:hideMark/>
          </w:tcPr>
          <w:p w:rsidR="006A6F4C" w:rsidRPr="006261F6" w:rsidRDefault="006A6F4C" w:rsidP="00C31D20">
            <w:pPr>
              <w:contextualSpacing/>
              <w:jc w:val="center"/>
              <w:rPr>
                <w:rFonts w:ascii="Arial" w:hAnsi="Arial" w:cs="Arial"/>
                <w:color w:val="000000" w:themeColor="text1"/>
                <w:sz w:val="16"/>
                <w:szCs w:val="16"/>
              </w:rPr>
            </w:pPr>
            <w:r>
              <w:rPr>
                <w:rFonts w:ascii="Arial" w:hAnsi="Arial" w:cs="Arial"/>
                <w:color w:val="000000" w:themeColor="text1"/>
                <w:sz w:val="16"/>
                <w:szCs w:val="16"/>
              </w:rPr>
              <w:t>c=máx. [m, 3</w:t>
            </w:r>
            <w:r w:rsidRPr="006261F6">
              <w:rPr>
                <w:rFonts w:ascii="Arial" w:hAnsi="Arial" w:cs="Arial"/>
                <w:color w:val="000000" w:themeColor="text1"/>
                <w:sz w:val="16"/>
                <w:szCs w:val="16"/>
              </w:rPr>
              <w:t>%]</w:t>
            </w:r>
          </w:p>
        </w:tc>
      </w:tr>
    </w:tbl>
    <w:p w:rsidR="006A6F4C" w:rsidRDefault="006A6F4C" w:rsidP="00C31D20">
      <w:pPr>
        <w:contextualSpacing/>
        <w:jc w:val="both"/>
        <w:rPr>
          <w:rFonts w:ascii="Arial" w:hAnsi="Arial" w:cs="Arial"/>
          <w:color w:val="000000" w:themeColor="text1"/>
        </w:rPr>
      </w:pPr>
      <w:r w:rsidRPr="00197AF3">
        <w:rPr>
          <w:rFonts w:ascii="Arial" w:hAnsi="Arial" w:cs="Arial"/>
          <w:color w:val="000000" w:themeColor="text1"/>
        </w:rPr>
        <w:fldChar w:fldCharType="begin"/>
      </w:r>
      <w:r w:rsidRPr="00197AF3">
        <w:rPr>
          <w:rFonts w:ascii="Arial" w:hAnsi="Arial" w:cs="Arial"/>
          <w:color w:val="000000" w:themeColor="text1"/>
        </w:rPr>
        <w:instrText xml:space="preserve"> INCLUDEPICTURE "http://suin-juriscol.gov.co/imagenes/graficas/r_mme_18-1602_2011_obj_18.jpg" \* MERGEFORMATINET </w:instrText>
      </w:r>
      <w:r w:rsidRPr="00197AF3">
        <w:rPr>
          <w:rFonts w:ascii="Arial" w:hAnsi="Arial" w:cs="Arial"/>
          <w:color w:val="000000" w:themeColor="text1"/>
        </w:rPr>
        <w:fldChar w:fldCharType="end"/>
      </w:r>
    </w:p>
    <w:p w:rsidR="006A6F4C" w:rsidRPr="00197AF3" w:rsidRDefault="006A6F4C" w:rsidP="00C31D20">
      <w:pPr>
        <w:contextualSpacing/>
        <w:jc w:val="both"/>
        <w:rPr>
          <w:rFonts w:ascii="Arial" w:hAnsi="Arial" w:cs="Arial"/>
          <w:color w:val="000000" w:themeColor="text1"/>
        </w:rPr>
      </w:pPr>
      <w:r w:rsidRPr="00197AF3">
        <w:rPr>
          <w:rFonts w:ascii="Arial" w:hAnsi="Arial" w:cs="Arial"/>
          <w:b/>
          <w:bCs/>
          <w:color w:val="000000" w:themeColor="text1"/>
        </w:rPr>
        <w:t>Parágrafo 1°.</w:t>
      </w:r>
      <w:r w:rsidRPr="00197AF3">
        <w:rPr>
          <w:rFonts w:ascii="Arial" w:hAnsi="Arial" w:cs="Arial"/>
          <w:color w:val="000000" w:themeColor="text1"/>
        </w:rPr>
        <w:t> Con base en los cálculos realizados para la fecha de cálculo, el Ministerio de Hacienda y Crédito Pú</w:t>
      </w:r>
      <w:r>
        <w:rPr>
          <w:rFonts w:ascii="Arial" w:hAnsi="Arial" w:cs="Arial"/>
          <w:color w:val="000000" w:themeColor="text1"/>
        </w:rPr>
        <w:t>blico  con revisión y verificación d</w:t>
      </w:r>
      <w:r w:rsidRPr="00197AF3">
        <w:rPr>
          <w:rFonts w:ascii="Arial" w:hAnsi="Arial" w:cs="Arial"/>
          <w:color w:val="000000" w:themeColor="text1"/>
        </w:rPr>
        <w:t>el Observatorio de Control y Vigilancia de las Finanzas y las Políticas Públicas</w:t>
      </w:r>
      <w:r w:rsidRPr="00197AF3">
        <w:rPr>
          <w:rFonts w:ascii="Arial" w:hAnsi="Arial" w:cs="Arial"/>
          <w:b/>
          <w:bCs/>
          <w:color w:val="000000" w:themeColor="text1"/>
        </w:rPr>
        <w:t xml:space="preserve"> - </w:t>
      </w:r>
      <w:r w:rsidRPr="00197AF3">
        <w:rPr>
          <w:rFonts w:ascii="Arial" w:hAnsi="Arial" w:cs="Arial"/>
          <w:color w:val="000000" w:themeColor="text1"/>
          <w:shd w:val="clear" w:color="auto" w:fill="FFFFFF"/>
        </w:rPr>
        <w:t>Contraloría General de la República</w:t>
      </w:r>
      <w:r w:rsidRPr="00197AF3">
        <w:rPr>
          <w:rFonts w:ascii="Arial" w:hAnsi="Arial" w:cs="Arial"/>
          <w:color w:val="000000" w:themeColor="text1"/>
        </w:rPr>
        <w:t xml:space="preserve">; determinaran, revisaran y verificaran el </w:t>
      </w:r>
      <w:r>
        <w:rPr>
          <w:rFonts w:ascii="Arial" w:hAnsi="Arial" w:cs="Arial"/>
          <w:color w:val="000000" w:themeColor="text1"/>
        </w:rPr>
        <w:t xml:space="preserve">cálculo al </w:t>
      </w:r>
      <w:r w:rsidR="00C31D20">
        <w:rPr>
          <w:rFonts w:ascii="Arial" w:hAnsi="Arial" w:cs="Arial"/>
          <w:color w:val="000000" w:themeColor="text1"/>
        </w:rPr>
        <w:t xml:space="preserve">Valor de Referencia </w:t>
      </w:r>
      <w:r w:rsidRPr="00197AF3">
        <w:rPr>
          <w:rFonts w:ascii="Arial" w:hAnsi="Arial" w:cs="Arial"/>
          <w:color w:val="000000" w:themeColor="text1"/>
        </w:rPr>
        <w:t>vigente para el siguiente mes de acuerdo con la fórmula señalada a continuación: </w:t>
      </w:r>
    </w:p>
    <w:p w:rsidR="006A6F4C" w:rsidRPr="00197AF3" w:rsidRDefault="006A6F4C" w:rsidP="00C31D20">
      <w:pPr>
        <w:contextualSpacing/>
        <w:jc w:val="both"/>
        <w:rPr>
          <w:rFonts w:ascii="Arial" w:hAnsi="Arial" w:cs="Arial"/>
          <w:color w:val="000000" w:themeColor="text1"/>
        </w:rPr>
      </w:pPr>
      <w:r w:rsidRPr="00197AF3">
        <w:rPr>
          <w:rFonts w:ascii="Arial" w:hAnsi="Arial" w:cs="Arial"/>
          <w:color w:val="000000" w:themeColor="text1"/>
        </w:rPr>
        <w:t>  </w:t>
      </w:r>
    </w:p>
    <w:p w:rsidR="006A6F4C" w:rsidRDefault="006A6F4C" w:rsidP="00C31D20">
      <w:pPr>
        <w:contextualSpacing/>
        <w:jc w:val="center"/>
        <w:rPr>
          <w:rFonts w:ascii="Arial" w:hAnsi="Arial" w:cs="Arial"/>
          <w:b/>
          <w:bCs/>
          <w:color w:val="000000" w:themeColor="text1"/>
        </w:rPr>
      </w:pPr>
      <w:r>
        <w:rPr>
          <w:rFonts w:ascii="Arial" w:hAnsi="Arial" w:cs="Arial"/>
          <w:b/>
          <w:bCs/>
          <w:color w:val="000000" w:themeColor="text1"/>
        </w:rPr>
        <w:t xml:space="preserve">VR (siguiente mes) = [VR </w:t>
      </w:r>
      <w:r w:rsidRPr="00197AF3">
        <w:rPr>
          <w:rFonts w:ascii="Arial" w:hAnsi="Arial" w:cs="Arial"/>
          <w:b/>
          <w:bCs/>
          <w:color w:val="000000" w:themeColor="text1"/>
        </w:rPr>
        <w:t>(vigente) * (1+c)</w:t>
      </w:r>
      <w:r>
        <w:rPr>
          <w:rFonts w:ascii="Arial" w:hAnsi="Arial" w:cs="Arial"/>
          <w:b/>
          <w:bCs/>
          <w:color w:val="000000" w:themeColor="text1"/>
        </w:rPr>
        <w:t>] * 0.90</w:t>
      </w:r>
    </w:p>
    <w:p w:rsidR="006A6F4C" w:rsidRDefault="006A6F4C" w:rsidP="00C31D20">
      <w:pPr>
        <w:contextualSpacing/>
        <w:jc w:val="both"/>
        <w:rPr>
          <w:rFonts w:ascii="Arial" w:hAnsi="Arial" w:cs="Arial"/>
          <w:b/>
          <w:bCs/>
          <w:color w:val="000000" w:themeColor="text1"/>
        </w:rPr>
      </w:pPr>
    </w:p>
    <w:p w:rsidR="006A6F4C" w:rsidRPr="006A6F4C" w:rsidRDefault="006A6F4C" w:rsidP="00C31D20">
      <w:pPr>
        <w:contextualSpacing/>
        <w:jc w:val="both"/>
        <w:rPr>
          <w:rFonts w:ascii="Arial" w:hAnsi="Arial" w:cs="Arial"/>
          <w:b/>
          <w:bCs/>
          <w:color w:val="000000" w:themeColor="text1"/>
        </w:rPr>
      </w:pPr>
      <w:r>
        <w:rPr>
          <w:rFonts w:ascii="Arial" w:hAnsi="Arial" w:cs="Arial"/>
          <w:b/>
          <w:bCs/>
          <w:color w:val="000000" w:themeColor="text1"/>
        </w:rPr>
        <w:t xml:space="preserve">Factor de Compensación (0.90) = </w:t>
      </w:r>
      <w:r>
        <w:rPr>
          <w:rFonts w:ascii="Arial" w:hAnsi="Arial" w:cs="Arial"/>
          <w:bCs/>
          <w:color w:val="000000" w:themeColor="text1"/>
        </w:rPr>
        <w:t>Corresponde al factor de descuento por compensación de daños causados al consumidor</w:t>
      </w:r>
      <w:r w:rsidR="00FB1636">
        <w:rPr>
          <w:rFonts w:ascii="Arial" w:hAnsi="Arial" w:cs="Arial"/>
          <w:bCs/>
          <w:color w:val="000000" w:themeColor="text1"/>
        </w:rPr>
        <w:t>, que estará fijo por diez (10) años, a partir de la promulgación de esta ley</w:t>
      </w:r>
      <w:r>
        <w:rPr>
          <w:rFonts w:ascii="Arial" w:hAnsi="Arial" w:cs="Arial"/>
          <w:bCs/>
          <w:color w:val="000000" w:themeColor="text1"/>
        </w:rPr>
        <w:t xml:space="preserve">. </w:t>
      </w:r>
    </w:p>
    <w:p w:rsidR="006A6F4C" w:rsidRPr="00197AF3" w:rsidRDefault="006A6F4C" w:rsidP="00C31D20">
      <w:pPr>
        <w:contextualSpacing/>
        <w:jc w:val="both"/>
        <w:rPr>
          <w:rFonts w:ascii="Arial" w:hAnsi="Arial" w:cs="Arial"/>
          <w:color w:val="000000" w:themeColor="text1"/>
        </w:rPr>
      </w:pPr>
    </w:p>
    <w:p w:rsidR="006A6F4C" w:rsidRDefault="006A6F4C" w:rsidP="00C31D20">
      <w:pPr>
        <w:pStyle w:val="NormalWeb"/>
        <w:spacing w:before="0" w:beforeAutospacing="0" w:after="0" w:afterAutospacing="0" w:line="254" w:lineRule="atLeast"/>
        <w:contextualSpacing/>
        <w:jc w:val="both"/>
        <w:rPr>
          <w:rFonts w:ascii="Arial" w:hAnsi="Arial" w:cs="Arial"/>
          <w:color w:val="000000"/>
        </w:rPr>
      </w:pPr>
      <w:r w:rsidRPr="00197AF3">
        <w:rPr>
          <w:rFonts w:ascii="Arial" w:hAnsi="Arial" w:cs="Arial"/>
          <w:b/>
          <w:bCs/>
          <w:color w:val="000000" w:themeColor="text1"/>
        </w:rPr>
        <w:t>Parágrafo 2°.</w:t>
      </w:r>
      <w:r w:rsidRPr="00197AF3">
        <w:rPr>
          <w:rFonts w:ascii="Arial" w:hAnsi="Arial" w:cs="Arial"/>
          <w:color w:val="000000" w:themeColor="text1"/>
        </w:rPr>
        <w:t> Con el fin de establecer política clara y transparente a la estructura del precio de los combustibles, el Ministerio de Hacienda y Crédito Publico y el Observatorio de Control y Vigilancia de las Finanzas y las Políticas Públicas</w:t>
      </w:r>
      <w:r w:rsidRPr="00197AF3">
        <w:rPr>
          <w:rFonts w:ascii="Arial" w:hAnsi="Arial" w:cs="Arial"/>
          <w:b/>
          <w:bCs/>
          <w:color w:val="000000" w:themeColor="text1"/>
        </w:rPr>
        <w:t xml:space="preserve"> - </w:t>
      </w:r>
      <w:r w:rsidRPr="00197AF3">
        <w:rPr>
          <w:rFonts w:ascii="Arial" w:hAnsi="Arial" w:cs="Arial"/>
          <w:color w:val="000000" w:themeColor="text1"/>
          <w:shd w:val="clear" w:color="auto" w:fill="FFFFFF"/>
        </w:rPr>
        <w:t>Contraloría General de la República</w:t>
      </w:r>
      <w:r w:rsidRPr="00197AF3">
        <w:rPr>
          <w:rFonts w:ascii="Arial" w:hAnsi="Arial" w:cs="Arial"/>
          <w:color w:val="000000" w:themeColor="text1"/>
        </w:rPr>
        <w:t xml:space="preserve">, </w:t>
      </w:r>
      <w:r w:rsidRPr="00F828AD">
        <w:rPr>
          <w:rFonts w:ascii="Arial" w:hAnsi="Arial" w:cs="Arial"/>
          <w:color w:val="000000" w:themeColor="text1"/>
        </w:rPr>
        <w:t>publicaran</w:t>
      </w:r>
      <w:r>
        <w:rPr>
          <w:rFonts w:ascii="Arial" w:hAnsi="Arial" w:cs="Arial"/>
          <w:color w:val="000000" w:themeColor="text1"/>
        </w:rPr>
        <w:t xml:space="preserve"> el cálculo de la anterior formula abiertamente en las correspondientes paginas oficiales de las entidades, así como enviaran copia física a la Secretarias Generales de la Cámara de Representantes y el Senado de la Republica, </w:t>
      </w:r>
      <w:r>
        <w:rPr>
          <w:rFonts w:ascii="Arial" w:hAnsi="Arial" w:cs="Arial"/>
          <w:color w:val="000000"/>
        </w:rPr>
        <w:t>en un término no mayor a siete (07</w:t>
      </w:r>
      <w:r w:rsidRPr="00197AF3">
        <w:rPr>
          <w:rFonts w:ascii="Arial" w:hAnsi="Arial" w:cs="Arial"/>
          <w:color w:val="000000"/>
        </w:rPr>
        <w:t xml:space="preserve">) días calendario posteriores al </w:t>
      </w:r>
      <w:r>
        <w:rPr>
          <w:rFonts w:ascii="Arial" w:hAnsi="Arial" w:cs="Arial"/>
          <w:color w:val="000000"/>
        </w:rPr>
        <w:t xml:space="preserve">cálculo mencionado en el presente artículo. </w:t>
      </w:r>
    </w:p>
    <w:p w:rsidR="00C31D20" w:rsidRDefault="00C31D20" w:rsidP="00C31D20">
      <w:pPr>
        <w:pStyle w:val="NormalWeb"/>
        <w:spacing w:before="0" w:beforeAutospacing="0" w:after="0" w:afterAutospacing="0" w:line="254" w:lineRule="atLeast"/>
        <w:contextualSpacing/>
        <w:jc w:val="both"/>
        <w:rPr>
          <w:rFonts w:ascii="Arial" w:hAnsi="Arial" w:cs="Arial"/>
          <w:color w:val="000000"/>
        </w:rPr>
      </w:pPr>
    </w:p>
    <w:p w:rsidR="00C31D20" w:rsidRDefault="00C31D20" w:rsidP="00C31D20">
      <w:pPr>
        <w:contextualSpacing/>
        <w:jc w:val="both"/>
        <w:rPr>
          <w:rFonts w:ascii="Arial" w:hAnsi="Arial" w:cs="Arial"/>
          <w:color w:val="000000"/>
        </w:rPr>
      </w:pPr>
      <w:r>
        <w:rPr>
          <w:rFonts w:ascii="Arial" w:hAnsi="Arial" w:cs="Arial"/>
          <w:b/>
          <w:bCs/>
          <w:color w:val="000000" w:themeColor="text1"/>
          <w:u w:val="single"/>
        </w:rPr>
        <w:t>Articulo 4.4</w:t>
      </w:r>
      <w:r w:rsidRPr="00197AF3">
        <w:rPr>
          <w:rFonts w:ascii="Arial" w:hAnsi="Arial" w:cs="Arial"/>
          <w:b/>
          <w:bCs/>
          <w:color w:val="000000" w:themeColor="text1"/>
          <w:u w:val="single"/>
        </w:rPr>
        <w:t>º.</w:t>
      </w:r>
      <w:r w:rsidRPr="00197AF3">
        <w:rPr>
          <w:rFonts w:ascii="Arial" w:hAnsi="Arial" w:cs="Arial"/>
          <w:color w:val="000000" w:themeColor="text1"/>
          <w:u w:val="single"/>
        </w:rPr>
        <w:t> </w:t>
      </w:r>
      <w:r w:rsidRPr="00C31D20">
        <w:rPr>
          <w:rFonts w:ascii="Arial" w:hAnsi="Arial" w:cs="Arial"/>
          <w:b/>
          <w:color w:val="000000" w:themeColor="text1"/>
          <w:u w:val="single"/>
        </w:rPr>
        <w:t>Valor de Referencia</w:t>
      </w:r>
      <w:r>
        <w:rPr>
          <w:rFonts w:ascii="Arial" w:hAnsi="Arial" w:cs="Arial"/>
          <w:color w:val="000000" w:themeColor="text1"/>
          <w:u w:val="single"/>
        </w:rPr>
        <w:t xml:space="preserve"> </w:t>
      </w:r>
      <w:r w:rsidRPr="00EA73B0">
        <w:rPr>
          <w:rFonts w:ascii="Arial" w:hAnsi="Arial" w:cs="Arial"/>
          <w:b/>
          <w:color w:val="000000" w:themeColor="text1"/>
          <w:u w:val="single"/>
        </w:rPr>
        <w:t>de</w:t>
      </w:r>
      <w:r>
        <w:rPr>
          <w:rFonts w:ascii="Arial" w:hAnsi="Arial" w:cs="Arial"/>
          <w:color w:val="000000" w:themeColor="text1"/>
          <w:u w:val="single"/>
        </w:rPr>
        <w:t xml:space="preserve"> </w:t>
      </w:r>
      <w:r w:rsidRPr="00197AF3">
        <w:rPr>
          <w:rFonts w:ascii="Arial" w:hAnsi="Arial" w:cs="Arial"/>
          <w:b/>
          <w:bCs/>
          <w:color w:val="000000" w:themeColor="text1"/>
          <w:u w:val="single"/>
        </w:rPr>
        <w:t xml:space="preserve"> ACPM:</w:t>
      </w:r>
      <w:r>
        <w:rPr>
          <w:rFonts w:ascii="Arial" w:hAnsi="Arial" w:cs="Arial"/>
          <w:b/>
          <w:bCs/>
          <w:color w:val="000000" w:themeColor="text1"/>
          <w:u w:val="single"/>
        </w:rPr>
        <w:t xml:space="preserve"> </w:t>
      </w:r>
      <w:r w:rsidRPr="000810F8">
        <w:rPr>
          <w:rFonts w:ascii="Arial" w:hAnsi="Arial" w:cs="Arial"/>
          <w:bCs/>
          <w:color w:val="000000" w:themeColor="text1"/>
        </w:rPr>
        <w:t xml:space="preserve">El cual será publicado mes a mes según las normas de </w:t>
      </w:r>
      <w:r w:rsidRPr="000810F8">
        <w:rPr>
          <w:rFonts w:ascii="Arial" w:hAnsi="Arial" w:cs="Arial"/>
          <w:color w:val="000000"/>
        </w:rPr>
        <w:t xml:space="preserve">Transparencia y del Derecho de Acceso a la Información Pública Nacional, con el fin de que sea de </w:t>
      </w:r>
      <w:r>
        <w:rPr>
          <w:rFonts w:ascii="Arial" w:hAnsi="Arial" w:cs="Arial"/>
          <w:color w:val="000000"/>
        </w:rPr>
        <w:t xml:space="preserve">pública y de </w:t>
      </w:r>
      <w:r w:rsidRPr="000810F8">
        <w:rPr>
          <w:rFonts w:ascii="Arial" w:hAnsi="Arial" w:cs="Arial"/>
          <w:color w:val="000000"/>
        </w:rPr>
        <w:t xml:space="preserve">fácil acceso para la comunidad. </w:t>
      </w:r>
    </w:p>
    <w:p w:rsidR="00C31D20" w:rsidRPr="00197AF3" w:rsidRDefault="00C31D20" w:rsidP="00C31D20">
      <w:pPr>
        <w:contextualSpacing/>
        <w:jc w:val="both"/>
        <w:rPr>
          <w:rFonts w:ascii="Arial" w:hAnsi="Arial" w:cs="Arial"/>
          <w:b/>
          <w:bCs/>
          <w:color w:val="000000" w:themeColor="text1"/>
          <w:u w:val="single"/>
        </w:rPr>
      </w:pPr>
    </w:p>
    <w:p w:rsidR="00C31D20" w:rsidRPr="00197AF3" w:rsidRDefault="00C31D20" w:rsidP="00C31D20">
      <w:pPr>
        <w:pStyle w:val="Ttulo2"/>
        <w:spacing w:before="0"/>
        <w:contextualSpacing/>
        <w:jc w:val="both"/>
        <w:rPr>
          <w:rFonts w:ascii="Arial" w:hAnsi="Arial" w:cs="Arial"/>
          <w:color w:val="000000" w:themeColor="text1"/>
          <w:sz w:val="24"/>
          <w:szCs w:val="24"/>
        </w:rPr>
      </w:pPr>
      <w:r w:rsidRPr="00197AF3">
        <w:rPr>
          <w:rFonts w:ascii="Arial" w:hAnsi="Arial" w:cs="Arial"/>
          <w:b/>
          <w:bCs/>
          <w:color w:val="000000" w:themeColor="text1"/>
          <w:sz w:val="24"/>
          <w:szCs w:val="24"/>
        </w:rPr>
        <w:t>Fecha de cálculo - FC:</w:t>
      </w:r>
      <w:r w:rsidRPr="00197AF3">
        <w:rPr>
          <w:rFonts w:ascii="Arial" w:hAnsi="Arial" w:cs="Arial"/>
          <w:color w:val="000000" w:themeColor="text1"/>
          <w:sz w:val="24"/>
          <w:szCs w:val="24"/>
        </w:rPr>
        <w:t> Corresponde al último día hábil de cada mes, es decir el día anterior al primer día calendario del mes siguiente.</w:t>
      </w:r>
    </w:p>
    <w:p w:rsidR="00C31D20" w:rsidRPr="00197AF3" w:rsidRDefault="00C31D20" w:rsidP="00C31D20">
      <w:pPr>
        <w:contextualSpacing/>
        <w:jc w:val="both"/>
        <w:rPr>
          <w:rFonts w:ascii="Arial" w:hAnsi="Arial" w:cs="Arial"/>
          <w:color w:val="000000" w:themeColor="text1"/>
        </w:rPr>
      </w:pPr>
    </w:p>
    <w:p w:rsidR="00C31D20" w:rsidRPr="00197AF3" w:rsidRDefault="00C31D20" w:rsidP="00C31D20">
      <w:pPr>
        <w:contextualSpacing/>
        <w:jc w:val="both"/>
        <w:rPr>
          <w:rFonts w:ascii="Arial" w:hAnsi="Arial" w:cs="Arial"/>
          <w:color w:val="000000" w:themeColor="text1"/>
        </w:rPr>
      </w:pPr>
      <w:r>
        <w:rPr>
          <w:rFonts w:ascii="Arial" w:hAnsi="Arial" w:cs="Arial"/>
          <w:b/>
          <w:bCs/>
          <w:color w:val="000000" w:themeColor="text1"/>
        </w:rPr>
        <w:t>Valor de Referencia vigente - VR</w:t>
      </w:r>
      <w:r w:rsidRPr="00197AF3">
        <w:rPr>
          <w:rFonts w:ascii="Arial" w:hAnsi="Arial" w:cs="Arial"/>
          <w:b/>
          <w:bCs/>
          <w:color w:val="000000" w:themeColor="text1"/>
        </w:rPr>
        <w:t>:</w:t>
      </w:r>
      <w:r>
        <w:rPr>
          <w:rFonts w:ascii="Arial" w:hAnsi="Arial" w:cs="Arial"/>
          <w:b/>
          <w:bCs/>
          <w:color w:val="000000" w:themeColor="text1"/>
        </w:rPr>
        <w:t xml:space="preserve"> </w:t>
      </w:r>
      <w:r w:rsidRPr="00197AF3">
        <w:rPr>
          <w:rFonts w:ascii="Arial" w:hAnsi="Arial" w:cs="Arial"/>
          <w:color w:val="000000" w:themeColor="text1"/>
        </w:rPr>
        <w:t>Corresponde al valor establecido por el Ministerio de Hacienda y Crédito Público</w:t>
      </w:r>
      <w:r>
        <w:rPr>
          <w:rFonts w:ascii="Arial" w:hAnsi="Arial" w:cs="Arial"/>
          <w:color w:val="000000" w:themeColor="text1"/>
        </w:rPr>
        <w:t>, revisado y verificado por</w:t>
      </w:r>
      <w:r w:rsidRPr="00197AF3">
        <w:rPr>
          <w:rFonts w:ascii="Arial" w:hAnsi="Arial" w:cs="Arial"/>
          <w:color w:val="000000" w:themeColor="text1"/>
        </w:rPr>
        <w:t xml:space="preserve"> el Observatorio de Control y Vigilancia de las Finanzas y las Políticas Públicas</w:t>
      </w:r>
      <w:r w:rsidRPr="00197AF3">
        <w:rPr>
          <w:rFonts w:ascii="Arial" w:hAnsi="Arial" w:cs="Arial"/>
          <w:b/>
          <w:bCs/>
          <w:color w:val="000000" w:themeColor="text1"/>
        </w:rPr>
        <w:t xml:space="preserve"> - </w:t>
      </w:r>
      <w:r w:rsidRPr="00197AF3">
        <w:rPr>
          <w:rFonts w:ascii="Arial" w:hAnsi="Arial" w:cs="Arial"/>
          <w:color w:val="000000" w:themeColor="text1"/>
          <w:shd w:val="clear" w:color="auto" w:fill="FFFFFF"/>
        </w:rPr>
        <w:t xml:space="preserve">Contraloría </w:t>
      </w:r>
      <w:r w:rsidRPr="00197AF3">
        <w:rPr>
          <w:rFonts w:ascii="Arial" w:hAnsi="Arial" w:cs="Arial"/>
          <w:color w:val="000000" w:themeColor="text1"/>
          <w:shd w:val="clear" w:color="auto" w:fill="FFFFFF"/>
        </w:rPr>
        <w:lastRenderedPageBreak/>
        <w:t>General de la República</w:t>
      </w:r>
      <w:r w:rsidRPr="00197AF3">
        <w:rPr>
          <w:rFonts w:ascii="Arial" w:hAnsi="Arial" w:cs="Arial"/>
          <w:color w:val="000000" w:themeColor="text1"/>
        </w:rPr>
        <w:t xml:space="preserve">, para el Ingreso al Productor por galón </w:t>
      </w:r>
      <w:r w:rsidRPr="000810F8">
        <w:rPr>
          <w:rFonts w:ascii="Arial" w:hAnsi="Arial" w:cs="Arial"/>
          <w:color w:val="000000" w:themeColor="text1"/>
        </w:rPr>
        <w:t xml:space="preserve">de </w:t>
      </w:r>
      <w:r w:rsidRPr="000810F8">
        <w:rPr>
          <w:rFonts w:ascii="Arial" w:hAnsi="Arial" w:cs="Arial"/>
          <w:bCs/>
          <w:color w:val="000000" w:themeColor="text1"/>
        </w:rPr>
        <w:t>ACPM</w:t>
      </w:r>
      <w:r>
        <w:rPr>
          <w:rFonts w:ascii="Arial" w:hAnsi="Arial" w:cs="Arial"/>
          <w:bCs/>
          <w:color w:val="000000" w:themeColor="text1"/>
        </w:rPr>
        <w:t xml:space="preserve"> para uso en motores d</w:t>
      </w:r>
      <w:r w:rsidRPr="000810F8">
        <w:rPr>
          <w:rFonts w:ascii="Arial" w:hAnsi="Arial" w:cs="Arial"/>
          <w:bCs/>
          <w:color w:val="000000" w:themeColor="text1"/>
        </w:rPr>
        <w:t>iesel</w:t>
      </w:r>
      <w:r w:rsidRPr="000810F8">
        <w:rPr>
          <w:rFonts w:ascii="Arial" w:hAnsi="Arial" w:cs="Arial"/>
          <w:color w:val="000000" w:themeColor="text1"/>
        </w:rPr>
        <w:t xml:space="preserve"> dentro</w:t>
      </w:r>
      <w:r w:rsidRPr="00197AF3">
        <w:rPr>
          <w:rFonts w:ascii="Arial" w:hAnsi="Arial" w:cs="Arial"/>
          <w:color w:val="000000" w:themeColor="text1"/>
        </w:rPr>
        <w:t xml:space="preserve"> de la estructura de precios para el mes en curso.  </w:t>
      </w:r>
    </w:p>
    <w:p w:rsidR="00C31D20" w:rsidRPr="00197AF3" w:rsidRDefault="00C31D20" w:rsidP="00C31D20">
      <w:pPr>
        <w:contextualSpacing/>
        <w:jc w:val="both"/>
        <w:rPr>
          <w:rFonts w:ascii="Arial" w:hAnsi="Arial" w:cs="Arial"/>
          <w:color w:val="000000" w:themeColor="text1"/>
        </w:rPr>
      </w:pPr>
    </w:p>
    <w:p w:rsidR="00C31D20" w:rsidRPr="00197AF3" w:rsidRDefault="00C31D20" w:rsidP="00C31D20">
      <w:pPr>
        <w:pStyle w:val="unico"/>
        <w:spacing w:before="0" w:beforeAutospacing="0" w:after="0" w:afterAutospacing="0"/>
        <w:contextualSpacing/>
        <w:jc w:val="both"/>
        <w:rPr>
          <w:rFonts w:ascii="Arial" w:hAnsi="Arial" w:cs="Arial"/>
          <w:color w:val="000000" w:themeColor="text1"/>
        </w:rPr>
      </w:pPr>
      <w:r w:rsidRPr="00197AF3">
        <w:rPr>
          <w:rFonts w:ascii="Arial" w:hAnsi="Arial" w:cs="Arial"/>
          <w:b/>
          <w:bCs/>
          <w:color w:val="000000" w:themeColor="text1"/>
        </w:rPr>
        <w:t>Precio diario paridad ponderada del ACPM - </w:t>
      </w:r>
      <w:proofErr w:type="spellStart"/>
      <w:r w:rsidRPr="00197AF3">
        <w:rPr>
          <w:rFonts w:ascii="Arial" w:hAnsi="Arial" w:cs="Arial"/>
          <w:color w:val="000000" w:themeColor="text1"/>
        </w:rPr>
        <w:t>PPP</w:t>
      </w:r>
      <w:r w:rsidRPr="00197AF3">
        <w:rPr>
          <w:rFonts w:ascii="Arial" w:hAnsi="Arial" w:cs="Arial"/>
          <w:color w:val="000000" w:themeColor="text1"/>
          <w:vertAlign w:val="subscript"/>
        </w:rPr>
        <w:t>t</w:t>
      </w:r>
      <w:proofErr w:type="gramStart"/>
      <w:r w:rsidRPr="00197AF3">
        <w:rPr>
          <w:rFonts w:ascii="Arial" w:hAnsi="Arial" w:cs="Arial"/>
          <w:color w:val="000000" w:themeColor="text1"/>
          <w:vertAlign w:val="subscript"/>
        </w:rPr>
        <w:t>,x,j</w:t>
      </w:r>
      <w:proofErr w:type="spellEnd"/>
      <w:proofErr w:type="gramEnd"/>
      <w:r w:rsidRPr="00197AF3">
        <w:rPr>
          <w:rFonts w:ascii="Arial" w:hAnsi="Arial" w:cs="Arial"/>
          <w:color w:val="000000" w:themeColor="text1"/>
        </w:rPr>
        <w:t>: corresponde al promedio ponderado diario del costo de oportunidad o precio de paridad de exportación del ACPM de producción nacional y del costo promedio paridad importación del ACPM importado de acuerdo con la siguiente fórmula:</w:t>
      </w:r>
    </w:p>
    <w:p w:rsidR="00C31D20" w:rsidRPr="00197AF3" w:rsidRDefault="00C31D20" w:rsidP="00C31D20">
      <w:pPr>
        <w:pStyle w:val="unico"/>
        <w:spacing w:before="0" w:beforeAutospacing="0" w:after="0" w:afterAutospacing="0"/>
        <w:contextualSpacing/>
        <w:jc w:val="center"/>
        <w:rPr>
          <w:rFonts w:ascii="Arial" w:hAnsi="Arial" w:cs="Arial"/>
          <w:b/>
          <w:bCs/>
          <w:color w:val="000000" w:themeColor="text1"/>
        </w:rPr>
      </w:pPr>
    </w:p>
    <w:p w:rsidR="00C31D20" w:rsidRPr="00197AF3" w:rsidRDefault="00C31D20" w:rsidP="00C31D20">
      <w:pPr>
        <w:pStyle w:val="unico"/>
        <w:spacing w:before="0" w:beforeAutospacing="0" w:after="0" w:afterAutospacing="0"/>
        <w:contextualSpacing/>
        <w:jc w:val="center"/>
        <w:rPr>
          <w:rFonts w:ascii="Arial" w:hAnsi="Arial" w:cs="Arial"/>
          <w:b/>
          <w:bCs/>
          <w:color w:val="000000" w:themeColor="text1"/>
          <w:lang w:val="en-US"/>
        </w:rPr>
      </w:pPr>
      <w:proofErr w:type="spellStart"/>
      <w:r w:rsidRPr="00197AF3">
        <w:rPr>
          <w:rFonts w:ascii="Arial" w:hAnsi="Arial" w:cs="Arial"/>
          <w:b/>
          <w:bCs/>
          <w:color w:val="000000" w:themeColor="text1"/>
          <w:lang w:val="en-US"/>
        </w:rPr>
        <w:t>PPP</w:t>
      </w:r>
      <w:r w:rsidRPr="00197AF3">
        <w:rPr>
          <w:rFonts w:ascii="Arial" w:hAnsi="Arial" w:cs="Arial"/>
          <w:b/>
          <w:bCs/>
          <w:color w:val="000000" w:themeColor="text1"/>
          <w:vertAlign w:val="subscript"/>
          <w:lang w:val="en-US"/>
        </w:rPr>
        <w:t>t</w:t>
      </w:r>
      <w:proofErr w:type="gramStart"/>
      <w:r w:rsidRPr="00197AF3">
        <w:rPr>
          <w:rFonts w:ascii="Arial" w:hAnsi="Arial" w:cs="Arial"/>
          <w:b/>
          <w:bCs/>
          <w:color w:val="000000" w:themeColor="text1"/>
          <w:vertAlign w:val="subscript"/>
          <w:lang w:val="en-US"/>
        </w:rPr>
        <w:t>,x,j</w:t>
      </w:r>
      <w:proofErr w:type="spellEnd"/>
      <w:proofErr w:type="gramEnd"/>
      <w:r w:rsidRPr="00197AF3">
        <w:rPr>
          <w:rFonts w:ascii="Arial" w:hAnsi="Arial" w:cs="Arial"/>
          <w:b/>
          <w:bCs/>
          <w:color w:val="000000" w:themeColor="text1"/>
          <w:lang w:val="en-US"/>
        </w:rPr>
        <w:t> = (%pronal</w:t>
      </w:r>
      <w:r w:rsidRPr="00197AF3">
        <w:rPr>
          <w:rFonts w:ascii="Arial" w:hAnsi="Arial" w:cs="Arial"/>
          <w:b/>
          <w:bCs/>
          <w:color w:val="000000" w:themeColor="text1"/>
          <w:vertAlign w:val="subscript"/>
          <w:lang w:val="en-US"/>
        </w:rPr>
        <w:t>j-1</w:t>
      </w:r>
      <w:r w:rsidRPr="00197AF3">
        <w:rPr>
          <w:rFonts w:ascii="Arial" w:hAnsi="Arial" w:cs="Arial"/>
          <w:b/>
          <w:bCs/>
          <w:color w:val="000000" w:themeColor="text1"/>
          <w:lang w:val="en-US"/>
        </w:rPr>
        <w:t xml:space="preserve"> * </w:t>
      </w:r>
      <w:proofErr w:type="spellStart"/>
      <w:r w:rsidRPr="00197AF3">
        <w:rPr>
          <w:rFonts w:ascii="Arial" w:hAnsi="Arial" w:cs="Arial"/>
          <w:b/>
          <w:bCs/>
          <w:color w:val="000000" w:themeColor="text1"/>
          <w:lang w:val="en-US"/>
        </w:rPr>
        <w:t>PPEACPM</w:t>
      </w:r>
      <w:r w:rsidRPr="00197AF3">
        <w:rPr>
          <w:rFonts w:ascii="Arial" w:hAnsi="Arial" w:cs="Arial"/>
          <w:b/>
          <w:bCs/>
          <w:color w:val="000000" w:themeColor="text1"/>
          <w:vertAlign w:val="subscript"/>
          <w:lang w:val="en-US"/>
        </w:rPr>
        <w:t>t,x,j</w:t>
      </w:r>
      <w:proofErr w:type="spellEnd"/>
      <w:r w:rsidRPr="00197AF3">
        <w:rPr>
          <w:rFonts w:ascii="Arial" w:hAnsi="Arial" w:cs="Arial"/>
          <w:b/>
          <w:bCs/>
          <w:color w:val="000000" w:themeColor="text1"/>
          <w:lang w:val="en-US"/>
        </w:rPr>
        <w:t>) + (%impo</w:t>
      </w:r>
      <w:r w:rsidRPr="00197AF3">
        <w:rPr>
          <w:rFonts w:ascii="Arial" w:hAnsi="Arial" w:cs="Arial"/>
          <w:b/>
          <w:bCs/>
          <w:color w:val="000000" w:themeColor="text1"/>
          <w:vertAlign w:val="subscript"/>
          <w:lang w:val="en-US"/>
        </w:rPr>
        <w:t>j-1</w:t>
      </w:r>
      <w:r w:rsidRPr="00197AF3">
        <w:rPr>
          <w:rFonts w:ascii="Arial" w:hAnsi="Arial" w:cs="Arial"/>
          <w:b/>
          <w:bCs/>
          <w:color w:val="000000" w:themeColor="text1"/>
          <w:lang w:val="en-US"/>
        </w:rPr>
        <w:t xml:space="preserve"> * </w:t>
      </w:r>
      <w:proofErr w:type="spellStart"/>
      <w:r w:rsidRPr="00197AF3">
        <w:rPr>
          <w:rFonts w:ascii="Arial" w:hAnsi="Arial" w:cs="Arial"/>
          <w:b/>
          <w:bCs/>
          <w:color w:val="000000" w:themeColor="text1"/>
          <w:lang w:val="en-US"/>
        </w:rPr>
        <w:t>PPIMPO</w:t>
      </w:r>
      <w:r w:rsidRPr="00197AF3">
        <w:rPr>
          <w:rFonts w:ascii="Arial" w:hAnsi="Arial" w:cs="Arial"/>
          <w:b/>
          <w:bCs/>
          <w:color w:val="000000" w:themeColor="text1"/>
          <w:vertAlign w:val="subscript"/>
          <w:lang w:val="en-US"/>
        </w:rPr>
        <w:t>t,x,j</w:t>
      </w:r>
      <w:proofErr w:type="spellEnd"/>
      <w:r w:rsidRPr="00197AF3">
        <w:rPr>
          <w:rFonts w:ascii="Arial" w:hAnsi="Arial" w:cs="Arial"/>
          <w:b/>
          <w:bCs/>
          <w:color w:val="000000" w:themeColor="text1"/>
          <w:lang w:val="en-US"/>
        </w:rPr>
        <w:t>)</w:t>
      </w:r>
    </w:p>
    <w:p w:rsidR="00C31D20" w:rsidRPr="00197AF3" w:rsidRDefault="00C31D20" w:rsidP="00C31D20">
      <w:pPr>
        <w:pStyle w:val="unico"/>
        <w:spacing w:before="180" w:beforeAutospacing="0" w:after="0" w:afterAutospacing="0"/>
        <w:contextualSpacing/>
        <w:jc w:val="both"/>
        <w:rPr>
          <w:rFonts w:ascii="Arial" w:hAnsi="Arial" w:cs="Arial"/>
          <w:color w:val="000000" w:themeColor="text1"/>
        </w:rPr>
      </w:pPr>
      <w:r w:rsidRPr="00197AF3">
        <w:rPr>
          <w:rFonts w:ascii="Arial" w:hAnsi="Arial" w:cs="Arial"/>
          <w:color w:val="000000" w:themeColor="text1"/>
        </w:rPr>
        <w:t>Dónde:</w:t>
      </w:r>
    </w:p>
    <w:p w:rsidR="00C31D20" w:rsidRPr="00197AF3" w:rsidRDefault="00C31D20" w:rsidP="00C31D20">
      <w:pPr>
        <w:pStyle w:val="unico"/>
        <w:spacing w:before="180" w:beforeAutospacing="0" w:after="0" w:afterAutospacing="0"/>
        <w:contextualSpacing/>
        <w:jc w:val="both"/>
        <w:rPr>
          <w:rFonts w:ascii="Arial" w:hAnsi="Arial" w:cs="Arial"/>
          <w:color w:val="000000" w:themeColor="text1"/>
        </w:rPr>
      </w:pPr>
      <w:proofErr w:type="gramStart"/>
      <w:r w:rsidRPr="00197AF3">
        <w:rPr>
          <w:rFonts w:ascii="Arial" w:hAnsi="Arial" w:cs="Arial"/>
          <w:color w:val="000000" w:themeColor="text1"/>
        </w:rPr>
        <w:t>t</w:t>
      </w:r>
      <w:proofErr w:type="gramEnd"/>
      <w:r w:rsidRPr="00197AF3">
        <w:rPr>
          <w:rFonts w:ascii="Arial" w:hAnsi="Arial" w:cs="Arial"/>
          <w:color w:val="000000" w:themeColor="text1"/>
        </w:rPr>
        <w:t>: corresponde al tiempo medido en días</w:t>
      </w:r>
    </w:p>
    <w:p w:rsidR="00C31D20" w:rsidRPr="00197AF3" w:rsidRDefault="00C31D20" w:rsidP="00C31D20">
      <w:pPr>
        <w:pStyle w:val="unico"/>
        <w:spacing w:before="180" w:beforeAutospacing="0" w:after="0" w:afterAutospacing="0"/>
        <w:contextualSpacing/>
        <w:jc w:val="both"/>
        <w:rPr>
          <w:rFonts w:ascii="Arial" w:hAnsi="Arial" w:cs="Arial"/>
          <w:color w:val="000000" w:themeColor="text1"/>
        </w:rPr>
      </w:pPr>
      <w:proofErr w:type="gramStart"/>
      <w:r w:rsidRPr="00197AF3">
        <w:rPr>
          <w:rFonts w:ascii="Arial" w:hAnsi="Arial" w:cs="Arial"/>
          <w:color w:val="000000" w:themeColor="text1"/>
        </w:rPr>
        <w:t>x</w:t>
      </w:r>
      <w:proofErr w:type="gramEnd"/>
      <w:r w:rsidRPr="00197AF3">
        <w:rPr>
          <w:rFonts w:ascii="Arial" w:hAnsi="Arial" w:cs="Arial"/>
          <w:color w:val="000000" w:themeColor="text1"/>
        </w:rPr>
        <w:t>: corresponde al mes en el cual se están haciendo los cálculos</w:t>
      </w:r>
    </w:p>
    <w:p w:rsidR="00C31D20" w:rsidRPr="00197AF3" w:rsidRDefault="00C31D20" w:rsidP="00C31D20">
      <w:pPr>
        <w:pStyle w:val="unico"/>
        <w:spacing w:before="180" w:beforeAutospacing="0" w:after="0" w:afterAutospacing="0"/>
        <w:contextualSpacing/>
        <w:jc w:val="both"/>
        <w:rPr>
          <w:rFonts w:ascii="Arial" w:hAnsi="Arial" w:cs="Arial"/>
          <w:color w:val="000000" w:themeColor="text1"/>
        </w:rPr>
      </w:pPr>
      <w:proofErr w:type="gramStart"/>
      <w:r w:rsidRPr="00197AF3">
        <w:rPr>
          <w:rFonts w:ascii="Arial" w:hAnsi="Arial" w:cs="Arial"/>
          <w:color w:val="000000" w:themeColor="text1"/>
        </w:rPr>
        <w:t>j</w:t>
      </w:r>
      <w:proofErr w:type="gramEnd"/>
      <w:r w:rsidRPr="00197AF3">
        <w:rPr>
          <w:rFonts w:ascii="Arial" w:hAnsi="Arial" w:cs="Arial"/>
          <w:color w:val="000000" w:themeColor="text1"/>
        </w:rPr>
        <w:t>: corresponde al trimestre en el cual se están realizando los cambios</w:t>
      </w:r>
    </w:p>
    <w:p w:rsidR="00C31D20" w:rsidRPr="00197AF3" w:rsidRDefault="00C31D20" w:rsidP="00C31D20">
      <w:pPr>
        <w:pStyle w:val="unico"/>
        <w:spacing w:before="180" w:beforeAutospacing="0" w:after="0" w:afterAutospacing="0"/>
        <w:contextualSpacing/>
        <w:jc w:val="both"/>
        <w:rPr>
          <w:rFonts w:ascii="Arial" w:hAnsi="Arial" w:cs="Arial"/>
          <w:color w:val="000000" w:themeColor="text1"/>
        </w:rPr>
      </w:pPr>
      <w:r w:rsidRPr="00197AF3">
        <w:rPr>
          <w:rFonts w:ascii="Arial" w:hAnsi="Arial" w:cs="Arial"/>
          <w:b/>
          <w:bCs/>
          <w:color w:val="000000" w:themeColor="text1"/>
        </w:rPr>
        <w:t>% IMPO</w:t>
      </w:r>
      <w:r w:rsidRPr="00197AF3">
        <w:rPr>
          <w:rFonts w:ascii="Arial" w:hAnsi="Arial" w:cs="Arial"/>
          <w:b/>
          <w:bCs/>
          <w:color w:val="000000" w:themeColor="text1"/>
          <w:vertAlign w:val="subscript"/>
        </w:rPr>
        <w:t>j-1</w:t>
      </w:r>
      <w:r w:rsidRPr="00197AF3">
        <w:rPr>
          <w:rFonts w:ascii="Arial" w:hAnsi="Arial" w:cs="Arial"/>
          <w:b/>
          <w:bCs/>
          <w:color w:val="000000" w:themeColor="text1"/>
        </w:rPr>
        <w:t>:</w:t>
      </w:r>
      <w:r w:rsidRPr="00197AF3">
        <w:rPr>
          <w:rFonts w:ascii="Arial" w:hAnsi="Arial" w:cs="Arial"/>
          <w:color w:val="000000" w:themeColor="text1"/>
        </w:rPr>
        <w:t xml:space="preserve"> Corresponde al porcentaje de ACPM importado para atender la demanda nacional reportado por Ecopetrol S.A. para el trimestre j-1. </w:t>
      </w:r>
    </w:p>
    <w:p w:rsidR="00C31D20" w:rsidRPr="00197AF3" w:rsidRDefault="00C31D20" w:rsidP="00C31D20">
      <w:pPr>
        <w:pStyle w:val="unico"/>
        <w:spacing w:before="180" w:beforeAutospacing="0" w:after="0" w:afterAutospacing="0"/>
        <w:contextualSpacing/>
        <w:jc w:val="both"/>
        <w:rPr>
          <w:rFonts w:ascii="Arial" w:hAnsi="Arial" w:cs="Arial"/>
          <w:color w:val="000000" w:themeColor="text1"/>
        </w:rPr>
      </w:pPr>
      <w:r w:rsidRPr="00197AF3">
        <w:rPr>
          <w:rFonts w:ascii="Arial" w:hAnsi="Arial" w:cs="Arial"/>
          <w:b/>
          <w:bCs/>
          <w:color w:val="000000" w:themeColor="text1"/>
        </w:rPr>
        <w:t>% PRONAL</w:t>
      </w:r>
      <w:r w:rsidRPr="00197AF3">
        <w:rPr>
          <w:rFonts w:ascii="Arial" w:hAnsi="Arial" w:cs="Arial"/>
          <w:b/>
          <w:bCs/>
          <w:color w:val="000000" w:themeColor="text1"/>
          <w:vertAlign w:val="subscript"/>
        </w:rPr>
        <w:t>j-1</w:t>
      </w:r>
      <w:r w:rsidRPr="00197AF3">
        <w:rPr>
          <w:rFonts w:ascii="Arial" w:hAnsi="Arial" w:cs="Arial"/>
          <w:b/>
          <w:bCs/>
          <w:color w:val="000000" w:themeColor="text1"/>
        </w:rPr>
        <w:t>:</w:t>
      </w:r>
      <w:r w:rsidRPr="00197AF3">
        <w:rPr>
          <w:rFonts w:ascii="Arial" w:hAnsi="Arial" w:cs="Arial"/>
          <w:color w:val="000000" w:themeColor="text1"/>
        </w:rPr>
        <w:t xml:space="preserve"> Corresponde al porcentaje de ACPM de producción nacional utilizado para atender la demanda nacional reportado por Ecopetrol S.A. para el trimestre j-1. </w:t>
      </w:r>
    </w:p>
    <w:p w:rsidR="00C31D20" w:rsidRPr="00197AF3" w:rsidRDefault="00C31D20" w:rsidP="00C31D20">
      <w:pPr>
        <w:pStyle w:val="unico"/>
        <w:spacing w:before="180" w:beforeAutospacing="0" w:after="0" w:afterAutospacing="0"/>
        <w:contextualSpacing/>
        <w:jc w:val="both"/>
        <w:rPr>
          <w:rFonts w:ascii="Arial" w:hAnsi="Arial" w:cs="Arial"/>
          <w:color w:val="000000" w:themeColor="text1"/>
        </w:rPr>
      </w:pPr>
      <w:r>
        <w:rPr>
          <w:rFonts w:ascii="Arial" w:hAnsi="Arial" w:cs="Arial"/>
          <w:b/>
          <w:bCs/>
          <w:color w:val="000000" w:themeColor="text1"/>
        </w:rPr>
        <w:t>P</w:t>
      </w:r>
      <w:r w:rsidRPr="00197AF3">
        <w:rPr>
          <w:rFonts w:ascii="Arial" w:hAnsi="Arial" w:cs="Arial"/>
          <w:b/>
          <w:bCs/>
          <w:color w:val="000000" w:themeColor="text1"/>
        </w:rPr>
        <w:t xml:space="preserve">aridad exportación del ACPM </w:t>
      </w:r>
      <w:r>
        <w:rPr>
          <w:rFonts w:ascii="Arial" w:hAnsi="Arial" w:cs="Arial"/>
          <w:b/>
          <w:bCs/>
          <w:color w:val="000000" w:themeColor="text1"/>
        </w:rPr>
        <w:t>d</w:t>
      </w:r>
      <w:r w:rsidRPr="00197AF3">
        <w:rPr>
          <w:rFonts w:ascii="Arial" w:hAnsi="Arial" w:cs="Arial"/>
          <w:b/>
          <w:bCs/>
          <w:color w:val="000000" w:themeColor="text1"/>
        </w:rPr>
        <w:t xml:space="preserve">e Producción Nacional - </w:t>
      </w:r>
      <w:proofErr w:type="spellStart"/>
      <w:r w:rsidRPr="00197AF3">
        <w:rPr>
          <w:rFonts w:ascii="Arial" w:hAnsi="Arial" w:cs="Arial"/>
          <w:b/>
          <w:bCs/>
          <w:color w:val="000000" w:themeColor="text1"/>
        </w:rPr>
        <w:t>PPEACPM</w:t>
      </w:r>
      <w:r w:rsidRPr="00197AF3">
        <w:rPr>
          <w:rFonts w:ascii="Arial" w:hAnsi="Arial" w:cs="Arial"/>
          <w:b/>
          <w:bCs/>
          <w:color w:val="000000" w:themeColor="text1"/>
          <w:vertAlign w:val="subscript"/>
        </w:rPr>
        <w:t>t</w:t>
      </w:r>
      <w:proofErr w:type="spellEnd"/>
      <w:r w:rsidRPr="00197AF3">
        <w:rPr>
          <w:rFonts w:ascii="Arial" w:hAnsi="Arial" w:cs="Arial"/>
          <w:b/>
          <w:bCs/>
          <w:color w:val="000000" w:themeColor="text1"/>
        </w:rPr>
        <w:t>:</w:t>
      </w:r>
      <w:r w:rsidRPr="00197AF3">
        <w:rPr>
          <w:rFonts w:ascii="Arial" w:hAnsi="Arial" w:cs="Arial"/>
          <w:color w:val="000000" w:themeColor="text1"/>
        </w:rPr>
        <w:t xml:space="preserve"> Corresponde al precio paridad exportación, referenciado al mercado del Golfo de los Estados Unidos de América, de cada observación diaria del ACPM para uso en motores diésel producido en Colombia y se calculará como el promedio ponderado de los índices: Diésel 2, ULSD (ultra </w:t>
      </w:r>
      <w:proofErr w:type="spellStart"/>
      <w:r w:rsidRPr="00197AF3">
        <w:rPr>
          <w:rFonts w:ascii="Arial" w:hAnsi="Arial" w:cs="Arial"/>
          <w:color w:val="000000" w:themeColor="text1"/>
        </w:rPr>
        <w:t>low</w:t>
      </w:r>
      <w:proofErr w:type="spellEnd"/>
      <w:r w:rsidRPr="00197AF3">
        <w:rPr>
          <w:rFonts w:ascii="Arial" w:hAnsi="Arial" w:cs="Arial"/>
          <w:color w:val="000000" w:themeColor="text1"/>
        </w:rPr>
        <w:t xml:space="preserve"> </w:t>
      </w:r>
      <w:proofErr w:type="spellStart"/>
      <w:r w:rsidRPr="00197AF3">
        <w:rPr>
          <w:rFonts w:ascii="Arial" w:hAnsi="Arial" w:cs="Arial"/>
          <w:color w:val="000000" w:themeColor="text1"/>
        </w:rPr>
        <w:t>sulfur</w:t>
      </w:r>
      <w:proofErr w:type="spellEnd"/>
      <w:r w:rsidRPr="00197AF3">
        <w:rPr>
          <w:rFonts w:ascii="Arial" w:hAnsi="Arial" w:cs="Arial"/>
          <w:color w:val="000000" w:themeColor="text1"/>
        </w:rPr>
        <w:t xml:space="preserve"> diésel), y LSD (</w:t>
      </w:r>
      <w:proofErr w:type="spellStart"/>
      <w:r w:rsidRPr="00197AF3">
        <w:rPr>
          <w:rFonts w:ascii="Arial" w:hAnsi="Arial" w:cs="Arial"/>
          <w:color w:val="000000" w:themeColor="text1"/>
        </w:rPr>
        <w:t>low</w:t>
      </w:r>
      <w:proofErr w:type="spellEnd"/>
      <w:r w:rsidRPr="00197AF3">
        <w:rPr>
          <w:rFonts w:ascii="Arial" w:hAnsi="Arial" w:cs="Arial"/>
          <w:color w:val="000000" w:themeColor="text1"/>
        </w:rPr>
        <w:t xml:space="preserve"> </w:t>
      </w:r>
      <w:proofErr w:type="spellStart"/>
      <w:r w:rsidRPr="00197AF3">
        <w:rPr>
          <w:rFonts w:ascii="Arial" w:hAnsi="Arial" w:cs="Arial"/>
          <w:color w:val="000000" w:themeColor="text1"/>
        </w:rPr>
        <w:t>sulfur</w:t>
      </w:r>
      <w:proofErr w:type="spellEnd"/>
      <w:r w:rsidRPr="00197AF3">
        <w:rPr>
          <w:rFonts w:ascii="Arial" w:hAnsi="Arial" w:cs="Arial"/>
          <w:color w:val="000000" w:themeColor="text1"/>
        </w:rPr>
        <w:t xml:space="preserve"> diésel) de la costa del Golfo de los Estados Unidos de América, con base en los volúmenes de las corrientes de diferentes calidades utilizadas por todos los refinadores para la producción de diésel en la calidad exigida por la regulación, mediante la siguiente ecuación: </w:t>
      </w:r>
    </w:p>
    <w:p w:rsidR="00C31D20" w:rsidRPr="00197AF3" w:rsidRDefault="00C31D20" w:rsidP="00C31D20">
      <w:pPr>
        <w:contextualSpacing/>
        <w:jc w:val="both"/>
        <w:rPr>
          <w:rFonts w:ascii="Arial" w:hAnsi="Arial" w:cs="Arial"/>
          <w:color w:val="000000" w:themeColor="text1"/>
        </w:rPr>
      </w:pPr>
      <w:r w:rsidRPr="00197AF3">
        <w:rPr>
          <w:rFonts w:ascii="Arial" w:hAnsi="Arial" w:cs="Arial"/>
          <w:color w:val="000000" w:themeColor="text1"/>
        </w:rPr>
        <w:fldChar w:fldCharType="begin"/>
      </w:r>
      <w:r w:rsidRPr="00197AF3">
        <w:rPr>
          <w:rFonts w:ascii="Arial" w:hAnsi="Arial" w:cs="Arial"/>
          <w:color w:val="000000" w:themeColor="text1"/>
        </w:rPr>
        <w:instrText xml:space="preserve"> INCLUDEPICTURE "http://static.legal.legis.com.co/58e862f9670d4da8967c5a29f3b187bd.JPG" \* MERGEFORMATINET </w:instrText>
      </w:r>
      <w:r w:rsidRPr="00197AF3">
        <w:rPr>
          <w:rFonts w:ascii="Arial" w:hAnsi="Arial" w:cs="Arial"/>
          <w:color w:val="000000" w:themeColor="text1"/>
        </w:rPr>
        <w:fldChar w:fldCharType="separate"/>
      </w:r>
      <w:r w:rsidRPr="00197AF3">
        <w:rPr>
          <w:rFonts w:ascii="Arial" w:hAnsi="Arial" w:cs="Arial"/>
          <w:noProof/>
          <w:color w:val="000000" w:themeColor="text1"/>
          <w:lang w:eastAsia="es-CO"/>
        </w:rPr>
        <w:drawing>
          <wp:inline distT="0" distB="0" distL="0" distR="0" wp14:anchorId="0B375D50" wp14:editId="66037604">
            <wp:extent cx="5612130" cy="587375"/>
            <wp:effectExtent l="0" t="0" r="1270" b="0"/>
            <wp:docPr id="7" name="Imagen 7" descr="R181491MM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R181491MME(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587375"/>
                    </a:xfrm>
                    <a:prstGeom prst="rect">
                      <a:avLst/>
                    </a:prstGeom>
                    <a:noFill/>
                    <a:ln>
                      <a:noFill/>
                    </a:ln>
                  </pic:spPr>
                </pic:pic>
              </a:graphicData>
            </a:graphic>
          </wp:inline>
        </w:drawing>
      </w:r>
      <w:r w:rsidRPr="00197AF3">
        <w:rPr>
          <w:rFonts w:ascii="Arial" w:hAnsi="Arial" w:cs="Arial"/>
          <w:color w:val="000000" w:themeColor="text1"/>
        </w:rPr>
        <w:fldChar w:fldCharType="end"/>
      </w:r>
    </w:p>
    <w:p w:rsidR="00C31D20" w:rsidRPr="00197AF3" w:rsidRDefault="00C31D20" w:rsidP="00F90048">
      <w:pPr>
        <w:pStyle w:val="unico"/>
        <w:spacing w:before="180" w:beforeAutospacing="0" w:after="0" w:afterAutospacing="0"/>
        <w:contextualSpacing/>
        <w:jc w:val="both"/>
        <w:rPr>
          <w:rFonts w:ascii="Arial" w:hAnsi="Arial" w:cs="Arial"/>
          <w:color w:val="000000" w:themeColor="text1"/>
        </w:rPr>
      </w:pPr>
      <w:r w:rsidRPr="00197AF3">
        <w:rPr>
          <w:rFonts w:ascii="Arial" w:hAnsi="Arial" w:cs="Arial"/>
          <w:color w:val="000000" w:themeColor="text1"/>
        </w:rPr>
        <w:t>Dónde:</w:t>
      </w:r>
      <w:r w:rsidRPr="00197AF3">
        <w:rPr>
          <w:rFonts w:ascii="Arial" w:hAnsi="Arial" w:cs="Arial"/>
          <w:b/>
          <w:bCs/>
          <w:color w:val="000000" w:themeColor="text1"/>
        </w:rPr>
        <w:t>VLSD</w:t>
      </w:r>
      <w:r w:rsidRPr="00197AF3">
        <w:rPr>
          <w:rFonts w:ascii="Arial" w:hAnsi="Arial" w:cs="Arial"/>
          <w:b/>
          <w:bCs/>
          <w:color w:val="000000" w:themeColor="text1"/>
          <w:vertAlign w:val="subscript"/>
        </w:rPr>
        <w:t>j-1</w:t>
      </w:r>
      <w:r w:rsidRPr="00197AF3">
        <w:rPr>
          <w:rFonts w:ascii="Arial" w:hAnsi="Arial" w:cs="Arial"/>
          <w:b/>
          <w:bCs/>
          <w:color w:val="000000" w:themeColor="text1"/>
        </w:rPr>
        <w:t>:</w:t>
      </w:r>
      <w:r w:rsidRPr="00197AF3">
        <w:rPr>
          <w:rFonts w:ascii="Arial" w:hAnsi="Arial" w:cs="Arial"/>
          <w:color w:val="000000" w:themeColor="text1"/>
        </w:rPr>
        <w:t xml:space="preserve"> Volumen total de la corriente de ACPM cuyo contenido de azufre sea mayor a 50 ppm y menor a 500 ppm, utilizado en la producción del diésel vendido en el trimestre j-1. </w:t>
      </w:r>
    </w:p>
    <w:p w:rsidR="00C31D20" w:rsidRPr="00197AF3" w:rsidRDefault="00C31D20" w:rsidP="00C31D20">
      <w:pPr>
        <w:pStyle w:val="Ttulo2"/>
        <w:spacing w:before="0"/>
        <w:contextualSpacing/>
        <w:jc w:val="both"/>
        <w:rPr>
          <w:rFonts w:ascii="Arial" w:hAnsi="Arial" w:cs="Arial"/>
          <w:color w:val="000000" w:themeColor="text1"/>
          <w:sz w:val="24"/>
          <w:szCs w:val="24"/>
        </w:rPr>
      </w:pPr>
      <w:proofErr w:type="spellStart"/>
      <w:r w:rsidRPr="00197AF3">
        <w:rPr>
          <w:rFonts w:ascii="Arial" w:hAnsi="Arial" w:cs="Arial"/>
          <w:b/>
          <w:bCs/>
          <w:color w:val="000000" w:themeColor="text1"/>
          <w:sz w:val="24"/>
          <w:szCs w:val="24"/>
        </w:rPr>
        <w:lastRenderedPageBreak/>
        <w:t>PLSD</w:t>
      </w:r>
      <w:r w:rsidRPr="00197AF3">
        <w:rPr>
          <w:rFonts w:ascii="Arial" w:hAnsi="Arial" w:cs="Arial"/>
          <w:b/>
          <w:bCs/>
          <w:color w:val="000000" w:themeColor="text1"/>
          <w:sz w:val="24"/>
          <w:szCs w:val="24"/>
          <w:vertAlign w:val="subscript"/>
        </w:rPr>
        <w:t>t</w:t>
      </w:r>
      <w:proofErr w:type="gramStart"/>
      <w:r w:rsidRPr="00197AF3">
        <w:rPr>
          <w:rFonts w:ascii="Arial" w:hAnsi="Arial" w:cs="Arial"/>
          <w:b/>
          <w:bCs/>
          <w:color w:val="000000" w:themeColor="text1"/>
          <w:sz w:val="24"/>
          <w:szCs w:val="24"/>
          <w:vertAlign w:val="subscript"/>
        </w:rPr>
        <w:t>,x</w:t>
      </w:r>
      <w:proofErr w:type="spellEnd"/>
      <w:proofErr w:type="gramEnd"/>
      <w:r w:rsidRPr="00197AF3">
        <w:rPr>
          <w:rFonts w:ascii="Arial" w:hAnsi="Arial" w:cs="Arial"/>
          <w:b/>
          <w:bCs/>
          <w:color w:val="000000" w:themeColor="text1"/>
          <w:sz w:val="24"/>
          <w:szCs w:val="24"/>
        </w:rPr>
        <w:t>:</w:t>
      </w:r>
      <w:r w:rsidRPr="00197AF3">
        <w:rPr>
          <w:rFonts w:ascii="Arial" w:hAnsi="Arial" w:cs="Arial"/>
          <w:color w:val="000000" w:themeColor="text1"/>
          <w:sz w:val="24"/>
          <w:szCs w:val="24"/>
        </w:rPr>
        <w:t> Corresponde a la cotización del índice LSD (</w:t>
      </w:r>
      <w:proofErr w:type="spellStart"/>
      <w:r w:rsidRPr="00197AF3">
        <w:rPr>
          <w:rFonts w:ascii="Arial" w:hAnsi="Arial" w:cs="Arial"/>
          <w:color w:val="000000" w:themeColor="text1"/>
          <w:sz w:val="24"/>
          <w:szCs w:val="24"/>
        </w:rPr>
        <w:t>low</w:t>
      </w:r>
      <w:proofErr w:type="spellEnd"/>
      <w:r w:rsidRPr="00197AF3">
        <w:rPr>
          <w:rFonts w:ascii="Arial" w:hAnsi="Arial" w:cs="Arial"/>
          <w:color w:val="000000" w:themeColor="text1"/>
          <w:sz w:val="24"/>
          <w:szCs w:val="24"/>
        </w:rPr>
        <w:t xml:space="preserve"> </w:t>
      </w:r>
      <w:proofErr w:type="spellStart"/>
      <w:r w:rsidRPr="00197AF3">
        <w:rPr>
          <w:rFonts w:ascii="Arial" w:hAnsi="Arial" w:cs="Arial"/>
          <w:color w:val="000000" w:themeColor="text1"/>
          <w:sz w:val="24"/>
          <w:szCs w:val="24"/>
        </w:rPr>
        <w:t>sulfur</w:t>
      </w:r>
      <w:proofErr w:type="spellEnd"/>
      <w:r w:rsidRPr="00197AF3">
        <w:rPr>
          <w:rFonts w:ascii="Arial" w:hAnsi="Arial" w:cs="Arial"/>
          <w:color w:val="000000" w:themeColor="text1"/>
          <w:sz w:val="24"/>
          <w:szCs w:val="24"/>
        </w:rPr>
        <w:t xml:space="preserve"> diésel) </w:t>
      </w:r>
      <w:proofErr w:type="spellStart"/>
      <w:r w:rsidRPr="00197AF3">
        <w:rPr>
          <w:rFonts w:ascii="Arial" w:hAnsi="Arial" w:cs="Arial"/>
          <w:color w:val="000000" w:themeColor="text1"/>
          <w:sz w:val="24"/>
          <w:szCs w:val="24"/>
        </w:rPr>
        <w:t>gulf</w:t>
      </w:r>
      <w:proofErr w:type="spellEnd"/>
      <w:r w:rsidRPr="00197AF3">
        <w:rPr>
          <w:rFonts w:ascii="Arial" w:hAnsi="Arial" w:cs="Arial"/>
          <w:color w:val="000000" w:themeColor="text1"/>
          <w:sz w:val="24"/>
          <w:szCs w:val="24"/>
        </w:rPr>
        <w:t xml:space="preserve"> </w:t>
      </w:r>
      <w:proofErr w:type="spellStart"/>
      <w:r w:rsidRPr="00197AF3">
        <w:rPr>
          <w:rFonts w:ascii="Arial" w:hAnsi="Arial" w:cs="Arial"/>
          <w:color w:val="000000" w:themeColor="text1"/>
          <w:sz w:val="24"/>
          <w:szCs w:val="24"/>
        </w:rPr>
        <w:t>coast</w:t>
      </w:r>
      <w:proofErr w:type="spellEnd"/>
      <w:r w:rsidRPr="00197AF3">
        <w:rPr>
          <w:rFonts w:ascii="Arial" w:hAnsi="Arial" w:cs="Arial"/>
          <w:color w:val="000000" w:themeColor="text1"/>
          <w:sz w:val="24"/>
          <w:szCs w:val="24"/>
        </w:rPr>
        <w:t xml:space="preserve"> </w:t>
      </w:r>
      <w:proofErr w:type="spellStart"/>
      <w:r w:rsidRPr="00197AF3">
        <w:rPr>
          <w:rFonts w:ascii="Arial" w:hAnsi="Arial" w:cs="Arial"/>
          <w:color w:val="000000" w:themeColor="text1"/>
          <w:sz w:val="24"/>
          <w:szCs w:val="24"/>
        </w:rPr>
        <w:t>waterborne</w:t>
      </w:r>
      <w:proofErr w:type="spellEnd"/>
      <w:r w:rsidRPr="00197AF3">
        <w:rPr>
          <w:rFonts w:ascii="Arial" w:hAnsi="Arial" w:cs="Arial"/>
          <w:color w:val="000000" w:themeColor="text1"/>
          <w:sz w:val="24"/>
          <w:szCs w:val="24"/>
        </w:rPr>
        <w:t xml:space="preserve"> de la publicación PLATT de Standard &amp; Poor expresado en dólares por galón (US$/Gal), en el día t, para el mes x.</w:t>
      </w:r>
    </w:p>
    <w:p w:rsidR="00C31D20" w:rsidRPr="00197AF3" w:rsidRDefault="00C31D20" w:rsidP="00C31D20">
      <w:pPr>
        <w:pStyle w:val="Ttulo2"/>
        <w:spacing w:before="0"/>
        <w:contextualSpacing/>
        <w:jc w:val="both"/>
        <w:rPr>
          <w:rFonts w:ascii="Arial" w:hAnsi="Arial" w:cs="Arial"/>
          <w:color w:val="000000" w:themeColor="text1"/>
          <w:sz w:val="24"/>
          <w:szCs w:val="24"/>
        </w:rPr>
      </w:pPr>
      <w:r w:rsidRPr="00197AF3">
        <w:rPr>
          <w:rFonts w:ascii="Arial" w:hAnsi="Arial" w:cs="Arial"/>
          <w:b/>
          <w:bCs/>
          <w:color w:val="000000" w:themeColor="text1"/>
          <w:sz w:val="24"/>
          <w:szCs w:val="24"/>
        </w:rPr>
        <w:t>VHSD</w:t>
      </w:r>
      <w:r w:rsidRPr="00197AF3">
        <w:rPr>
          <w:rFonts w:ascii="Arial" w:hAnsi="Arial" w:cs="Arial"/>
          <w:b/>
          <w:bCs/>
          <w:color w:val="000000" w:themeColor="text1"/>
          <w:sz w:val="24"/>
          <w:szCs w:val="24"/>
          <w:vertAlign w:val="subscript"/>
        </w:rPr>
        <w:t>j-1</w:t>
      </w:r>
      <w:r w:rsidRPr="00197AF3">
        <w:rPr>
          <w:rFonts w:ascii="Arial" w:hAnsi="Arial" w:cs="Arial"/>
          <w:b/>
          <w:bCs/>
          <w:color w:val="000000" w:themeColor="text1"/>
          <w:sz w:val="24"/>
          <w:szCs w:val="24"/>
        </w:rPr>
        <w:t>:</w:t>
      </w:r>
      <w:r w:rsidRPr="00197AF3">
        <w:rPr>
          <w:rFonts w:ascii="Arial" w:hAnsi="Arial" w:cs="Arial"/>
          <w:color w:val="000000" w:themeColor="text1"/>
          <w:sz w:val="24"/>
          <w:szCs w:val="24"/>
        </w:rPr>
        <w:t> Volumen total de ACPM cuyo contenido de azufre sea mayor o igual a 500 partes por millón utilizado en la producción del diésel vendido en el trimestre j 1.</w:t>
      </w:r>
    </w:p>
    <w:p w:rsidR="00C31D20" w:rsidRPr="00197AF3" w:rsidRDefault="00C31D20" w:rsidP="00C31D20">
      <w:pPr>
        <w:pStyle w:val="Ttulo2"/>
        <w:spacing w:before="0"/>
        <w:contextualSpacing/>
        <w:jc w:val="both"/>
        <w:rPr>
          <w:rFonts w:ascii="Arial" w:hAnsi="Arial" w:cs="Arial"/>
          <w:color w:val="000000" w:themeColor="text1"/>
          <w:sz w:val="24"/>
          <w:szCs w:val="24"/>
        </w:rPr>
      </w:pPr>
      <w:proofErr w:type="spellStart"/>
      <w:r w:rsidRPr="00197AF3">
        <w:rPr>
          <w:rFonts w:ascii="Arial" w:hAnsi="Arial" w:cs="Arial"/>
          <w:b/>
          <w:bCs/>
          <w:color w:val="000000" w:themeColor="text1"/>
          <w:sz w:val="24"/>
          <w:szCs w:val="24"/>
        </w:rPr>
        <w:t>PHSD</w:t>
      </w:r>
      <w:r w:rsidRPr="00197AF3">
        <w:rPr>
          <w:rFonts w:ascii="Arial" w:hAnsi="Arial" w:cs="Arial"/>
          <w:b/>
          <w:bCs/>
          <w:color w:val="000000" w:themeColor="text1"/>
          <w:sz w:val="24"/>
          <w:szCs w:val="24"/>
          <w:vertAlign w:val="subscript"/>
        </w:rPr>
        <w:t>t</w:t>
      </w:r>
      <w:proofErr w:type="gramStart"/>
      <w:r w:rsidRPr="00197AF3">
        <w:rPr>
          <w:rFonts w:ascii="Arial" w:hAnsi="Arial" w:cs="Arial"/>
          <w:b/>
          <w:bCs/>
          <w:color w:val="000000" w:themeColor="text1"/>
          <w:sz w:val="24"/>
          <w:szCs w:val="24"/>
          <w:vertAlign w:val="subscript"/>
        </w:rPr>
        <w:t>,x</w:t>
      </w:r>
      <w:proofErr w:type="spellEnd"/>
      <w:proofErr w:type="gramEnd"/>
      <w:r w:rsidRPr="00197AF3">
        <w:rPr>
          <w:rFonts w:ascii="Arial" w:hAnsi="Arial" w:cs="Arial"/>
          <w:b/>
          <w:bCs/>
          <w:color w:val="000000" w:themeColor="text1"/>
          <w:sz w:val="24"/>
          <w:szCs w:val="24"/>
        </w:rPr>
        <w:t>:</w:t>
      </w:r>
      <w:r w:rsidRPr="00197AF3">
        <w:rPr>
          <w:rFonts w:ascii="Arial" w:hAnsi="Arial" w:cs="Arial"/>
          <w:color w:val="000000" w:themeColor="text1"/>
          <w:sz w:val="24"/>
          <w:szCs w:val="24"/>
        </w:rPr>
        <w:t xml:space="preserve"> Corresponde a la cotización del índice número 2 U.S. </w:t>
      </w:r>
      <w:proofErr w:type="spellStart"/>
      <w:r w:rsidRPr="00197AF3">
        <w:rPr>
          <w:rFonts w:ascii="Arial" w:hAnsi="Arial" w:cs="Arial"/>
          <w:color w:val="000000" w:themeColor="text1"/>
          <w:sz w:val="24"/>
          <w:szCs w:val="24"/>
        </w:rPr>
        <w:t>Gulf</w:t>
      </w:r>
      <w:proofErr w:type="spellEnd"/>
      <w:r w:rsidRPr="00197AF3">
        <w:rPr>
          <w:rFonts w:ascii="Arial" w:hAnsi="Arial" w:cs="Arial"/>
          <w:color w:val="000000" w:themeColor="text1"/>
          <w:sz w:val="24"/>
          <w:szCs w:val="24"/>
        </w:rPr>
        <w:t xml:space="preserve"> </w:t>
      </w:r>
      <w:proofErr w:type="spellStart"/>
      <w:r w:rsidRPr="00197AF3">
        <w:rPr>
          <w:rFonts w:ascii="Arial" w:hAnsi="Arial" w:cs="Arial"/>
          <w:color w:val="000000" w:themeColor="text1"/>
          <w:sz w:val="24"/>
          <w:szCs w:val="24"/>
        </w:rPr>
        <w:t>Coast</w:t>
      </w:r>
      <w:proofErr w:type="spellEnd"/>
      <w:r w:rsidRPr="00197AF3">
        <w:rPr>
          <w:rFonts w:ascii="Arial" w:hAnsi="Arial" w:cs="Arial"/>
          <w:color w:val="000000" w:themeColor="text1"/>
          <w:sz w:val="24"/>
          <w:szCs w:val="24"/>
        </w:rPr>
        <w:t xml:space="preserve"> </w:t>
      </w:r>
      <w:proofErr w:type="spellStart"/>
      <w:r w:rsidRPr="00197AF3">
        <w:rPr>
          <w:rFonts w:ascii="Arial" w:hAnsi="Arial" w:cs="Arial"/>
          <w:color w:val="000000" w:themeColor="text1"/>
          <w:sz w:val="24"/>
          <w:szCs w:val="24"/>
        </w:rPr>
        <w:t>Waterborne</w:t>
      </w:r>
      <w:proofErr w:type="spellEnd"/>
      <w:r w:rsidRPr="00197AF3">
        <w:rPr>
          <w:rFonts w:ascii="Arial" w:hAnsi="Arial" w:cs="Arial"/>
          <w:color w:val="000000" w:themeColor="text1"/>
          <w:sz w:val="24"/>
          <w:szCs w:val="24"/>
        </w:rPr>
        <w:t xml:space="preserve"> de la publicación </w:t>
      </w:r>
      <w:proofErr w:type="spellStart"/>
      <w:r w:rsidRPr="00197AF3">
        <w:rPr>
          <w:rFonts w:ascii="Arial" w:hAnsi="Arial" w:cs="Arial"/>
          <w:color w:val="000000" w:themeColor="text1"/>
          <w:sz w:val="24"/>
          <w:szCs w:val="24"/>
        </w:rPr>
        <w:t>PLATT’s</w:t>
      </w:r>
      <w:proofErr w:type="spellEnd"/>
      <w:r w:rsidRPr="00197AF3">
        <w:rPr>
          <w:rFonts w:ascii="Arial" w:hAnsi="Arial" w:cs="Arial"/>
          <w:color w:val="000000" w:themeColor="text1"/>
          <w:sz w:val="24"/>
          <w:szCs w:val="24"/>
        </w:rPr>
        <w:t xml:space="preserve"> de Standard &amp; </w:t>
      </w:r>
      <w:proofErr w:type="spellStart"/>
      <w:r w:rsidRPr="00197AF3">
        <w:rPr>
          <w:rFonts w:ascii="Arial" w:hAnsi="Arial" w:cs="Arial"/>
          <w:color w:val="000000" w:themeColor="text1"/>
          <w:sz w:val="24"/>
          <w:szCs w:val="24"/>
        </w:rPr>
        <w:t>Poor’s</w:t>
      </w:r>
      <w:proofErr w:type="spellEnd"/>
      <w:r w:rsidRPr="00197AF3">
        <w:rPr>
          <w:rFonts w:ascii="Arial" w:hAnsi="Arial" w:cs="Arial"/>
          <w:color w:val="000000" w:themeColor="text1"/>
          <w:sz w:val="24"/>
          <w:szCs w:val="24"/>
        </w:rPr>
        <w:t xml:space="preserve"> expresado en dólares por galón (US$/Gal), en el día t, para el mes x.</w:t>
      </w:r>
    </w:p>
    <w:p w:rsidR="00C31D20" w:rsidRPr="00197AF3" w:rsidRDefault="00C31D20" w:rsidP="00C31D20">
      <w:pPr>
        <w:contextualSpacing/>
        <w:jc w:val="both"/>
        <w:rPr>
          <w:rFonts w:ascii="Arial" w:hAnsi="Arial" w:cs="Arial"/>
          <w:color w:val="000000" w:themeColor="text1"/>
        </w:rPr>
      </w:pPr>
    </w:p>
    <w:p w:rsidR="00C31D20" w:rsidRPr="00197AF3" w:rsidRDefault="00C31D20" w:rsidP="00C31D20">
      <w:pPr>
        <w:pStyle w:val="Ttulo2"/>
        <w:spacing w:before="0"/>
        <w:contextualSpacing/>
        <w:jc w:val="both"/>
        <w:rPr>
          <w:rFonts w:ascii="Arial" w:hAnsi="Arial" w:cs="Arial"/>
          <w:color w:val="000000" w:themeColor="text1"/>
          <w:sz w:val="24"/>
          <w:szCs w:val="24"/>
        </w:rPr>
      </w:pPr>
      <w:r w:rsidRPr="00197AF3">
        <w:rPr>
          <w:rFonts w:ascii="Arial" w:hAnsi="Arial" w:cs="Arial"/>
          <w:b/>
          <w:bCs/>
          <w:color w:val="000000" w:themeColor="text1"/>
          <w:sz w:val="24"/>
          <w:szCs w:val="24"/>
        </w:rPr>
        <w:t>VULSD</w:t>
      </w:r>
      <w:r w:rsidRPr="00197AF3">
        <w:rPr>
          <w:rFonts w:ascii="Arial" w:hAnsi="Arial" w:cs="Arial"/>
          <w:b/>
          <w:bCs/>
          <w:color w:val="000000" w:themeColor="text1"/>
          <w:sz w:val="24"/>
          <w:szCs w:val="24"/>
          <w:vertAlign w:val="subscript"/>
        </w:rPr>
        <w:t>j-1</w:t>
      </w:r>
      <w:r w:rsidRPr="00197AF3">
        <w:rPr>
          <w:rFonts w:ascii="Arial" w:hAnsi="Arial" w:cs="Arial"/>
          <w:b/>
          <w:bCs/>
          <w:color w:val="000000" w:themeColor="text1"/>
          <w:sz w:val="24"/>
          <w:szCs w:val="24"/>
        </w:rPr>
        <w:t>:</w:t>
      </w:r>
      <w:r w:rsidRPr="00197AF3">
        <w:rPr>
          <w:rFonts w:ascii="Arial" w:hAnsi="Arial" w:cs="Arial"/>
          <w:color w:val="000000" w:themeColor="text1"/>
          <w:sz w:val="24"/>
          <w:szCs w:val="24"/>
        </w:rPr>
        <w:t> Volumen total de ACPM cuyo contenido de azufre sea menor o igual a 50 partes por millón utilizado en la producción del diésel vendido en el día t para el trimestre j-1.</w:t>
      </w:r>
    </w:p>
    <w:p w:rsidR="00C31D20" w:rsidRPr="00197AF3" w:rsidRDefault="00C31D20" w:rsidP="00C31D20">
      <w:pPr>
        <w:pStyle w:val="Ttulo2"/>
        <w:spacing w:before="0"/>
        <w:contextualSpacing/>
        <w:jc w:val="both"/>
        <w:rPr>
          <w:rFonts w:ascii="Arial" w:hAnsi="Arial" w:cs="Arial"/>
          <w:color w:val="000000" w:themeColor="text1"/>
          <w:sz w:val="24"/>
          <w:szCs w:val="24"/>
        </w:rPr>
      </w:pPr>
      <w:proofErr w:type="spellStart"/>
      <w:r w:rsidRPr="00197AF3">
        <w:rPr>
          <w:rFonts w:ascii="Arial" w:hAnsi="Arial" w:cs="Arial"/>
          <w:b/>
          <w:bCs/>
          <w:color w:val="000000" w:themeColor="text1"/>
          <w:sz w:val="24"/>
          <w:szCs w:val="24"/>
        </w:rPr>
        <w:t>PULSD</w:t>
      </w:r>
      <w:r w:rsidRPr="00197AF3">
        <w:rPr>
          <w:rFonts w:ascii="Arial" w:hAnsi="Arial" w:cs="Arial"/>
          <w:b/>
          <w:bCs/>
          <w:color w:val="000000" w:themeColor="text1"/>
          <w:sz w:val="24"/>
          <w:szCs w:val="24"/>
          <w:vertAlign w:val="subscript"/>
        </w:rPr>
        <w:t>t</w:t>
      </w:r>
      <w:proofErr w:type="gramStart"/>
      <w:r w:rsidRPr="00197AF3">
        <w:rPr>
          <w:rFonts w:ascii="Arial" w:hAnsi="Arial" w:cs="Arial"/>
          <w:b/>
          <w:bCs/>
          <w:color w:val="000000" w:themeColor="text1"/>
          <w:sz w:val="24"/>
          <w:szCs w:val="24"/>
          <w:vertAlign w:val="subscript"/>
        </w:rPr>
        <w:t>,x</w:t>
      </w:r>
      <w:proofErr w:type="spellEnd"/>
      <w:proofErr w:type="gramEnd"/>
      <w:r w:rsidRPr="00197AF3">
        <w:rPr>
          <w:rFonts w:ascii="Arial" w:hAnsi="Arial" w:cs="Arial"/>
          <w:b/>
          <w:bCs/>
          <w:color w:val="000000" w:themeColor="text1"/>
          <w:sz w:val="24"/>
          <w:szCs w:val="24"/>
        </w:rPr>
        <w:t>:</w:t>
      </w:r>
      <w:r w:rsidRPr="00197AF3">
        <w:rPr>
          <w:rFonts w:ascii="Arial" w:hAnsi="Arial" w:cs="Arial"/>
          <w:color w:val="000000" w:themeColor="text1"/>
          <w:sz w:val="24"/>
          <w:szCs w:val="24"/>
        </w:rPr>
        <w:t xml:space="preserve"> Corresponde a la cotización del índice ULSD (ultra </w:t>
      </w:r>
      <w:proofErr w:type="spellStart"/>
      <w:r w:rsidRPr="00197AF3">
        <w:rPr>
          <w:rFonts w:ascii="Arial" w:hAnsi="Arial" w:cs="Arial"/>
          <w:color w:val="000000" w:themeColor="text1"/>
          <w:sz w:val="24"/>
          <w:szCs w:val="24"/>
        </w:rPr>
        <w:t>low</w:t>
      </w:r>
      <w:proofErr w:type="spellEnd"/>
      <w:r w:rsidRPr="00197AF3">
        <w:rPr>
          <w:rFonts w:ascii="Arial" w:hAnsi="Arial" w:cs="Arial"/>
          <w:color w:val="000000" w:themeColor="text1"/>
          <w:sz w:val="24"/>
          <w:szCs w:val="24"/>
        </w:rPr>
        <w:t xml:space="preserve"> </w:t>
      </w:r>
      <w:proofErr w:type="spellStart"/>
      <w:r w:rsidRPr="00197AF3">
        <w:rPr>
          <w:rFonts w:ascii="Arial" w:hAnsi="Arial" w:cs="Arial"/>
          <w:color w:val="000000" w:themeColor="text1"/>
          <w:sz w:val="24"/>
          <w:szCs w:val="24"/>
        </w:rPr>
        <w:t>sulfur</w:t>
      </w:r>
      <w:proofErr w:type="spellEnd"/>
      <w:r w:rsidRPr="00197AF3">
        <w:rPr>
          <w:rFonts w:ascii="Arial" w:hAnsi="Arial" w:cs="Arial"/>
          <w:color w:val="000000" w:themeColor="text1"/>
          <w:sz w:val="24"/>
          <w:szCs w:val="24"/>
        </w:rPr>
        <w:t xml:space="preserve"> diésel) U.S. </w:t>
      </w:r>
      <w:proofErr w:type="spellStart"/>
      <w:r w:rsidRPr="00197AF3">
        <w:rPr>
          <w:rFonts w:ascii="Arial" w:hAnsi="Arial" w:cs="Arial"/>
          <w:color w:val="000000" w:themeColor="text1"/>
          <w:sz w:val="24"/>
          <w:szCs w:val="24"/>
        </w:rPr>
        <w:t>Gulf</w:t>
      </w:r>
      <w:proofErr w:type="spellEnd"/>
      <w:r w:rsidRPr="00197AF3">
        <w:rPr>
          <w:rFonts w:ascii="Arial" w:hAnsi="Arial" w:cs="Arial"/>
          <w:color w:val="000000" w:themeColor="text1"/>
          <w:sz w:val="24"/>
          <w:szCs w:val="24"/>
        </w:rPr>
        <w:t xml:space="preserve"> </w:t>
      </w:r>
      <w:proofErr w:type="spellStart"/>
      <w:r w:rsidRPr="00197AF3">
        <w:rPr>
          <w:rFonts w:ascii="Arial" w:hAnsi="Arial" w:cs="Arial"/>
          <w:color w:val="000000" w:themeColor="text1"/>
          <w:sz w:val="24"/>
          <w:szCs w:val="24"/>
        </w:rPr>
        <w:t>Coast</w:t>
      </w:r>
      <w:proofErr w:type="spellEnd"/>
      <w:r w:rsidRPr="00197AF3">
        <w:rPr>
          <w:rFonts w:ascii="Arial" w:hAnsi="Arial" w:cs="Arial"/>
          <w:color w:val="000000" w:themeColor="text1"/>
          <w:sz w:val="24"/>
          <w:szCs w:val="24"/>
        </w:rPr>
        <w:t xml:space="preserve"> </w:t>
      </w:r>
      <w:proofErr w:type="spellStart"/>
      <w:r w:rsidRPr="00197AF3">
        <w:rPr>
          <w:rFonts w:ascii="Arial" w:hAnsi="Arial" w:cs="Arial"/>
          <w:color w:val="000000" w:themeColor="text1"/>
          <w:sz w:val="24"/>
          <w:szCs w:val="24"/>
        </w:rPr>
        <w:t>Waterborne</w:t>
      </w:r>
      <w:proofErr w:type="spellEnd"/>
      <w:r w:rsidRPr="00197AF3">
        <w:rPr>
          <w:rFonts w:ascii="Arial" w:hAnsi="Arial" w:cs="Arial"/>
          <w:color w:val="000000" w:themeColor="text1"/>
          <w:sz w:val="24"/>
          <w:szCs w:val="24"/>
        </w:rPr>
        <w:t xml:space="preserve"> de la publicación </w:t>
      </w:r>
      <w:proofErr w:type="spellStart"/>
      <w:r w:rsidRPr="00197AF3">
        <w:rPr>
          <w:rFonts w:ascii="Arial" w:hAnsi="Arial" w:cs="Arial"/>
          <w:color w:val="000000" w:themeColor="text1"/>
          <w:sz w:val="24"/>
          <w:szCs w:val="24"/>
        </w:rPr>
        <w:t>PLATTs</w:t>
      </w:r>
      <w:proofErr w:type="spellEnd"/>
      <w:r w:rsidRPr="00197AF3">
        <w:rPr>
          <w:rFonts w:ascii="Arial" w:hAnsi="Arial" w:cs="Arial"/>
          <w:color w:val="000000" w:themeColor="text1"/>
          <w:sz w:val="24"/>
          <w:szCs w:val="24"/>
        </w:rPr>
        <w:t xml:space="preserve"> de Standard &amp; </w:t>
      </w:r>
      <w:proofErr w:type="spellStart"/>
      <w:r w:rsidRPr="00197AF3">
        <w:rPr>
          <w:rFonts w:ascii="Arial" w:hAnsi="Arial" w:cs="Arial"/>
          <w:color w:val="000000" w:themeColor="text1"/>
          <w:sz w:val="24"/>
          <w:szCs w:val="24"/>
        </w:rPr>
        <w:t>Poor’s</w:t>
      </w:r>
      <w:proofErr w:type="spellEnd"/>
      <w:r w:rsidRPr="00197AF3">
        <w:rPr>
          <w:rFonts w:ascii="Arial" w:hAnsi="Arial" w:cs="Arial"/>
          <w:color w:val="000000" w:themeColor="text1"/>
          <w:sz w:val="24"/>
          <w:szCs w:val="24"/>
        </w:rPr>
        <w:t xml:space="preserve"> expresado en dólares por galán (</w:t>
      </w:r>
      <w:proofErr w:type="spellStart"/>
      <w:r w:rsidRPr="00197AF3">
        <w:rPr>
          <w:rFonts w:ascii="Arial" w:hAnsi="Arial" w:cs="Arial"/>
          <w:color w:val="000000" w:themeColor="text1"/>
          <w:sz w:val="24"/>
          <w:szCs w:val="24"/>
        </w:rPr>
        <w:t>US$IGal</w:t>
      </w:r>
      <w:proofErr w:type="spellEnd"/>
      <w:r w:rsidRPr="00197AF3">
        <w:rPr>
          <w:rFonts w:ascii="Arial" w:hAnsi="Arial" w:cs="Arial"/>
          <w:color w:val="000000" w:themeColor="text1"/>
          <w:sz w:val="24"/>
          <w:szCs w:val="24"/>
        </w:rPr>
        <w:t>), en el día t, para el mes x.</w:t>
      </w:r>
    </w:p>
    <w:p w:rsidR="00C31D20" w:rsidRPr="00F039AD" w:rsidRDefault="00C31D20" w:rsidP="00C31D20">
      <w:pPr>
        <w:pStyle w:val="Ttulo2"/>
        <w:spacing w:before="0"/>
        <w:contextualSpacing/>
        <w:jc w:val="both"/>
        <w:rPr>
          <w:rFonts w:ascii="Arial" w:hAnsi="Arial" w:cs="Arial"/>
          <w:color w:val="000000" w:themeColor="text1"/>
          <w:sz w:val="24"/>
          <w:szCs w:val="24"/>
        </w:rPr>
      </w:pPr>
      <w:r w:rsidRPr="00197AF3">
        <w:rPr>
          <w:rFonts w:ascii="Arial" w:hAnsi="Arial" w:cs="Arial"/>
          <w:b/>
          <w:bCs/>
          <w:color w:val="000000" w:themeColor="text1"/>
          <w:sz w:val="24"/>
          <w:szCs w:val="24"/>
        </w:rPr>
        <w:t>VT</w:t>
      </w:r>
      <w:r w:rsidRPr="00197AF3">
        <w:rPr>
          <w:rFonts w:ascii="Arial" w:hAnsi="Arial" w:cs="Arial"/>
          <w:b/>
          <w:bCs/>
          <w:color w:val="000000" w:themeColor="text1"/>
          <w:sz w:val="24"/>
          <w:szCs w:val="24"/>
          <w:vertAlign w:val="subscript"/>
        </w:rPr>
        <w:t>j-1</w:t>
      </w:r>
      <w:r w:rsidRPr="00197AF3">
        <w:rPr>
          <w:rFonts w:ascii="Arial" w:hAnsi="Arial" w:cs="Arial"/>
          <w:b/>
          <w:bCs/>
          <w:color w:val="000000" w:themeColor="text1"/>
          <w:sz w:val="24"/>
          <w:szCs w:val="24"/>
        </w:rPr>
        <w:t>: </w:t>
      </w:r>
      <w:r w:rsidRPr="00197AF3">
        <w:rPr>
          <w:rFonts w:ascii="Arial" w:hAnsi="Arial" w:cs="Arial"/>
          <w:color w:val="000000" w:themeColor="text1"/>
          <w:sz w:val="24"/>
          <w:szCs w:val="24"/>
        </w:rPr>
        <w:t xml:space="preserve">Volumen total vendido de diésel en el trimestre j-1 </w:t>
      </w:r>
      <w:r>
        <w:rPr>
          <w:rFonts w:ascii="Arial" w:hAnsi="Arial" w:cs="Arial"/>
          <w:color w:val="000000" w:themeColor="text1"/>
          <w:sz w:val="24"/>
          <w:szCs w:val="24"/>
        </w:rPr>
        <w:t>en todo el territorio nacional.</w:t>
      </w:r>
    </w:p>
    <w:p w:rsidR="00C31D20" w:rsidRPr="00197AF3" w:rsidRDefault="00C31D20" w:rsidP="00C31D20">
      <w:pPr>
        <w:pStyle w:val="Ttulo2"/>
        <w:spacing w:before="0"/>
        <w:contextualSpacing/>
        <w:jc w:val="both"/>
        <w:rPr>
          <w:rFonts w:ascii="Arial" w:hAnsi="Arial" w:cs="Arial"/>
          <w:color w:val="000000" w:themeColor="text1"/>
          <w:sz w:val="24"/>
          <w:szCs w:val="24"/>
        </w:rPr>
      </w:pPr>
      <w:proofErr w:type="spellStart"/>
      <w:r w:rsidRPr="00197AF3">
        <w:rPr>
          <w:rFonts w:ascii="Arial" w:hAnsi="Arial" w:cs="Arial"/>
          <w:b/>
          <w:bCs/>
          <w:color w:val="000000" w:themeColor="text1"/>
          <w:sz w:val="24"/>
          <w:szCs w:val="24"/>
        </w:rPr>
        <w:t>CT</w:t>
      </w:r>
      <w:r w:rsidRPr="00197AF3">
        <w:rPr>
          <w:rFonts w:ascii="Arial" w:hAnsi="Arial" w:cs="Arial"/>
          <w:b/>
          <w:bCs/>
          <w:color w:val="000000" w:themeColor="text1"/>
          <w:sz w:val="24"/>
          <w:szCs w:val="24"/>
          <w:vertAlign w:val="subscript"/>
        </w:rPr>
        <w:t>t</w:t>
      </w:r>
      <w:proofErr w:type="gramStart"/>
      <w:r w:rsidRPr="00197AF3">
        <w:rPr>
          <w:rFonts w:ascii="Arial" w:hAnsi="Arial" w:cs="Arial"/>
          <w:b/>
          <w:bCs/>
          <w:color w:val="000000" w:themeColor="text1"/>
          <w:sz w:val="24"/>
          <w:szCs w:val="24"/>
          <w:vertAlign w:val="subscript"/>
        </w:rPr>
        <w:t>,x</w:t>
      </w:r>
      <w:proofErr w:type="spellEnd"/>
      <w:proofErr w:type="gramEnd"/>
      <w:r w:rsidRPr="00197AF3">
        <w:rPr>
          <w:rFonts w:ascii="Arial" w:hAnsi="Arial" w:cs="Arial"/>
          <w:b/>
          <w:bCs/>
          <w:color w:val="000000" w:themeColor="text1"/>
          <w:sz w:val="24"/>
          <w:szCs w:val="24"/>
        </w:rPr>
        <w:t>:</w:t>
      </w:r>
      <w:r w:rsidRPr="00197AF3">
        <w:rPr>
          <w:rFonts w:ascii="Arial" w:hAnsi="Arial" w:cs="Arial"/>
          <w:color w:val="000000" w:themeColor="text1"/>
          <w:sz w:val="24"/>
          <w:szCs w:val="24"/>
        </w:rPr>
        <w:t> Corresponde, al costo de los fletes por poliducto o terrestres para transportar un galán de ACPM desde la refinería hasta el puerto de exportación local, de acuerdo con las tarifas reguladas sobre el particular por el Ministerio de Minas y Energía</w:t>
      </w:r>
      <w:r>
        <w:rPr>
          <w:rFonts w:ascii="Arial" w:hAnsi="Arial" w:cs="Arial"/>
          <w:color w:val="000000" w:themeColor="text1"/>
          <w:sz w:val="24"/>
          <w:szCs w:val="24"/>
        </w:rPr>
        <w:t xml:space="preserve"> con verificación y supervisión del </w:t>
      </w:r>
      <w:r w:rsidRPr="00197AF3">
        <w:rPr>
          <w:rFonts w:ascii="Arial" w:hAnsi="Arial" w:cs="Arial"/>
          <w:color w:val="000000" w:themeColor="text1"/>
        </w:rPr>
        <w:t>Observatorio de Control y Vigilancia de las Finanzas y las Políticas Públicas</w:t>
      </w:r>
      <w:r w:rsidRPr="00197AF3">
        <w:rPr>
          <w:rFonts w:ascii="Arial" w:hAnsi="Arial" w:cs="Arial"/>
          <w:b/>
          <w:bCs/>
          <w:color w:val="000000" w:themeColor="text1"/>
        </w:rPr>
        <w:t xml:space="preserve"> - </w:t>
      </w:r>
      <w:r w:rsidRPr="00197AF3">
        <w:rPr>
          <w:rFonts w:ascii="Arial" w:hAnsi="Arial" w:cs="Arial"/>
          <w:color w:val="000000" w:themeColor="text1"/>
          <w:shd w:val="clear" w:color="auto" w:fill="FFFFFF"/>
        </w:rPr>
        <w:t>Contraloría General de la República</w:t>
      </w:r>
      <w:r w:rsidRPr="00197AF3">
        <w:rPr>
          <w:rFonts w:ascii="Arial" w:hAnsi="Arial" w:cs="Arial"/>
          <w:color w:val="000000" w:themeColor="text1"/>
          <w:sz w:val="24"/>
          <w:szCs w:val="24"/>
        </w:rPr>
        <w:t>, expresado en dólares por galón (US$/Galón), en el día t, para el mes x. Para efectos de las tarifas en pesos, se utilizará para su conversión a dólares la tasa de cambio aplicable a cada uno de los días de cálculo.</w:t>
      </w:r>
    </w:p>
    <w:p w:rsidR="00C31D20" w:rsidRPr="00197AF3" w:rsidRDefault="00C31D20" w:rsidP="00C31D20">
      <w:pPr>
        <w:contextualSpacing/>
        <w:jc w:val="both"/>
        <w:rPr>
          <w:rFonts w:ascii="Arial" w:hAnsi="Arial" w:cs="Arial"/>
          <w:color w:val="000000" w:themeColor="text1"/>
        </w:rPr>
      </w:pPr>
    </w:p>
    <w:p w:rsidR="00C31D20" w:rsidRPr="00197AF3" w:rsidRDefault="00C31D20" w:rsidP="00C31D20">
      <w:pPr>
        <w:pStyle w:val="Ttulo2"/>
        <w:spacing w:before="0"/>
        <w:contextualSpacing/>
        <w:jc w:val="both"/>
        <w:rPr>
          <w:rFonts w:ascii="Arial" w:hAnsi="Arial" w:cs="Arial"/>
          <w:color w:val="000000" w:themeColor="text1"/>
          <w:sz w:val="24"/>
          <w:szCs w:val="24"/>
        </w:rPr>
      </w:pPr>
      <w:proofErr w:type="spellStart"/>
      <w:r w:rsidRPr="00197AF3">
        <w:rPr>
          <w:rFonts w:ascii="Arial" w:hAnsi="Arial" w:cs="Arial"/>
          <w:b/>
          <w:bCs/>
          <w:color w:val="000000" w:themeColor="text1"/>
          <w:sz w:val="24"/>
          <w:szCs w:val="24"/>
        </w:rPr>
        <w:t>FL</w:t>
      </w:r>
      <w:r w:rsidRPr="00197AF3">
        <w:rPr>
          <w:rFonts w:ascii="Arial" w:hAnsi="Arial" w:cs="Arial"/>
          <w:b/>
          <w:bCs/>
          <w:color w:val="000000" w:themeColor="text1"/>
          <w:sz w:val="24"/>
          <w:szCs w:val="24"/>
          <w:vertAlign w:val="subscript"/>
        </w:rPr>
        <w:t>t</w:t>
      </w:r>
      <w:proofErr w:type="spellEnd"/>
      <w:r w:rsidRPr="00197AF3">
        <w:rPr>
          <w:rFonts w:ascii="Arial" w:hAnsi="Arial" w:cs="Arial"/>
          <w:b/>
          <w:bCs/>
          <w:color w:val="000000" w:themeColor="text1"/>
          <w:sz w:val="24"/>
          <w:szCs w:val="24"/>
        </w:rPr>
        <w:t>:</w:t>
      </w:r>
      <w:r w:rsidRPr="00197AF3">
        <w:rPr>
          <w:rFonts w:ascii="Arial" w:hAnsi="Arial" w:cs="Arial"/>
          <w:color w:val="000000" w:themeColor="text1"/>
          <w:sz w:val="24"/>
          <w:szCs w:val="24"/>
        </w:rPr>
        <w:t> Corresponde al costo de los fletes marítimos o terrestres y demás costos incurridos para transportar un galán de ACPM desde el puerto de exportación local de la costa colombiana hasta la costa del Golfo de los Estados Unidos de América, expresado en dólares por galán (US$/Galón), en el día t. Dicho valor será el que resulte de aplicar la siguiente fórmula:</w:t>
      </w:r>
    </w:p>
    <w:p w:rsidR="00C31D20" w:rsidRPr="00197AF3" w:rsidRDefault="00C31D20" w:rsidP="00C31D20">
      <w:pPr>
        <w:contextualSpacing/>
        <w:jc w:val="both"/>
        <w:rPr>
          <w:rFonts w:ascii="Arial" w:hAnsi="Arial" w:cs="Arial"/>
          <w:color w:val="000000" w:themeColor="text1"/>
        </w:rPr>
      </w:pPr>
    </w:p>
    <w:p w:rsidR="00C31D20" w:rsidRPr="00FB1636" w:rsidRDefault="00C31D20" w:rsidP="00C31D20">
      <w:pPr>
        <w:pStyle w:val="unico"/>
        <w:spacing w:before="0" w:beforeAutospacing="0" w:after="0" w:afterAutospacing="0"/>
        <w:contextualSpacing/>
        <w:jc w:val="center"/>
        <w:rPr>
          <w:rFonts w:ascii="Arial" w:hAnsi="Arial" w:cs="Arial"/>
          <w:bCs/>
          <w:color w:val="000000" w:themeColor="text1"/>
        </w:rPr>
      </w:pPr>
      <w:proofErr w:type="spellStart"/>
      <w:r w:rsidRPr="00FB1636">
        <w:rPr>
          <w:rFonts w:ascii="Arial" w:hAnsi="Arial" w:cs="Arial"/>
          <w:bCs/>
          <w:color w:val="000000" w:themeColor="text1"/>
        </w:rPr>
        <w:t>FL</w:t>
      </w:r>
      <w:r w:rsidRPr="00FB1636">
        <w:rPr>
          <w:rFonts w:ascii="Arial" w:hAnsi="Arial" w:cs="Arial"/>
          <w:bCs/>
          <w:color w:val="000000" w:themeColor="text1"/>
          <w:vertAlign w:val="subscript"/>
        </w:rPr>
        <w:t>t</w:t>
      </w:r>
      <w:proofErr w:type="spellEnd"/>
      <w:r w:rsidRPr="00FB1636">
        <w:rPr>
          <w:rFonts w:ascii="Arial" w:hAnsi="Arial" w:cs="Arial"/>
          <w:bCs/>
          <w:color w:val="000000" w:themeColor="text1"/>
        </w:rPr>
        <w:t>= [</w:t>
      </w:r>
      <w:proofErr w:type="spellStart"/>
      <w:r w:rsidRPr="00FB1636">
        <w:rPr>
          <w:rFonts w:ascii="Arial" w:hAnsi="Arial" w:cs="Arial"/>
          <w:bCs/>
          <w:color w:val="000000" w:themeColor="text1"/>
        </w:rPr>
        <w:t>Ws</w:t>
      </w:r>
      <w:r w:rsidRPr="00FB1636">
        <w:rPr>
          <w:rFonts w:ascii="Arial" w:hAnsi="Arial" w:cs="Arial"/>
          <w:bCs/>
          <w:color w:val="000000" w:themeColor="text1"/>
          <w:vertAlign w:val="subscript"/>
        </w:rPr>
        <w:t>t</w:t>
      </w:r>
      <w:proofErr w:type="spellEnd"/>
      <w:r w:rsidRPr="00FB1636">
        <w:rPr>
          <w:rFonts w:ascii="Arial" w:hAnsi="Arial" w:cs="Arial"/>
          <w:bCs/>
          <w:color w:val="000000" w:themeColor="text1"/>
        </w:rPr>
        <w:t> / (f * 42)] * (</w:t>
      </w:r>
      <w:proofErr w:type="spellStart"/>
      <w:r w:rsidRPr="00FB1636">
        <w:rPr>
          <w:rFonts w:ascii="Arial" w:hAnsi="Arial" w:cs="Arial"/>
          <w:bCs/>
          <w:color w:val="000000" w:themeColor="text1"/>
        </w:rPr>
        <w:t>STR</w:t>
      </w:r>
      <w:r w:rsidRPr="00FB1636">
        <w:rPr>
          <w:rFonts w:ascii="Arial" w:hAnsi="Arial" w:cs="Arial"/>
          <w:bCs/>
          <w:color w:val="000000" w:themeColor="text1"/>
          <w:vertAlign w:val="subscript"/>
        </w:rPr>
        <w:t>t</w:t>
      </w:r>
      <w:proofErr w:type="spellEnd"/>
      <w:r w:rsidRPr="00FB1636">
        <w:rPr>
          <w:rFonts w:ascii="Arial" w:hAnsi="Arial" w:cs="Arial"/>
          <w:bCs/>
          <w:color w:val="000000" w:themeColor="text1"/>
        </w:rPr>
        <w:t> / 100)</w:t>
      </w:r>
    </w:p>
    <w:p w:rsidR="00F90048" w:rsidRPr="00FB1636" w:rsidRDefault="00F90048" w:rsidP="00C31D20">
      <w:pPr>
        <w:pStyle w:val="unico"/>
        <w:spacing w:before="0" w:beforeAutospacing="0" w:after="0" w:afterAutospacing="0"/>
        <w:contextualSpacing/>
        <w:jc w:val="center"/>
        <w:rPr>
          <w:rFonts w:ascii="Arial" w:hAnsi="Arial" w:cs="Arial"/>
          <w:bCs/>
          <w:color w:val="000000" w:themeColor="text1"/>
        </w:rPr>
      </w:pPr>
    </w:p>
    <w:p w:rsidR="00C31D20" w:rsidRDefault="00F90048" w:rsidP="00F90048">
      <w:pPr>
        <w:pStyle w:val="unico"/>
        <w:spacing w:before="180" w:beforeAutospacing="0" w:after="0" w:afterAutospacing="0"/>
        <w:contextualSpacing/>
        <w:jc w:val="both"/>
        <w:rPr>
          <w:rFonts w:ascii="Arial" w:hAnsi="Arial" w:cs="Arial"/>
          <w:color w:val="000000" w:themeColor="text1"/>
        </w:rPr>
      </w:pPr>
      <w:r w:rsidRPr="00F90048">
        <w:rPr>
          <w:rFonts w:ascii="Arial" w:hAnsi="Arial" w:cs="Arial"/>
          <w:color w:val="000000" w:themeColor="text1"/>
        </w:rPr>
        <w:t>Dónde</w:t>
      </w:r>
      <w:r w:rsidR="00C31D20" w:rsidRPr="00F90048">
        <w:rPr>
          <w:rFonts w:ascii="Arial" w:hAnsi="Arial" w:cs="Arial"/>
          <w:color w:val="000000" w:themeColor="text1"/>
        </w:rPr>
        <w:t>:</w:t>
      </w:r>
      <w:r>
        <w:rPr>
          <w:rFonts w:ascii="Arial" w:hAnsi="Arial" w:cs="Arial"/>
          <w:color w:val="000000" w:themeColor="text1"/>
        </w:rPr>
        <w:t xml:space="preserve"> </w:t>
      </w:r>
      <w:proofErr w:type="spellStart"/>
      <w:r w:rsidR="00C31D20" w:rsidRPr="00197AF3">
        <w:rPr>
          <w:rFonts w:ascii="Arial" w:hAnsi="Arial" w:cs="Arial"/>
          <w:b/>
          <w:bCs/>
          <w:color w:val="000000" w:themeColor="text1"/>
        </w:rPr>
        <w:t>WS</w:t>
      </w:r>
      <w:r w:rsidR="00C31D20" w:rsidRPr="00197AF3">
        <w:rPr>
          <w:rFonts w:ascii="Arial" w:hAnsi="Arial" w:cs="Arial"/>
          <w:b/>
          <w:bCs/>
          <w:color w:val="000000" w:themeColor="text1"/>
          <w:vertAlign w:val="subscript"/>
        </w:rPr>
        <w:t>t</w:t>
      </w:r>
      <w:proofErr w:type="spellEnd"/>
      <w:r w:rsidR="00C31D20" w:rsidRPr="00197AF3">
        <w:rPr>
          <w:rFonts w:ascii="Arial" w:hAnsi="Arial" w:cs="Arial"/>
          <w:b/>
          <w:bCs/>
          <w:color w:val="000000" w:themeColor="text1"/>
        </w:rPr>
        <w:t>:</w:t>
      </w:r>
      <w:r w:rsidR="00C31D20" w:rsidRPr="00197AF3">
        <w:rPr>
          <w:rFonts w:ascii="Arial" w:hAnsi="Arial" w:cs="Arial"/>
          <w:color w:val="000000" w:themeColor="text1"/>
        </w:rPr>
        <w:t xml:space="preserve"> Corresponde a la cotización diaria del flete de referencia de la ruta Houston-pozos colorados, publicado por el </w:t>
      </w:r>
      <w:proofErr w:type="spellStart"/>
      <w:r w:rsidR="00C31D20" w:rsidRPr="00197AF3">
        <w:rPr>
          <w:rFonts w:ascii="Arial" w:hAnsi="Arial" w:cs="Arial"/>
          <w:color w:val="000000" w:themeColor="text1"/>
        </w:rPr>
        <w:t>Worlwide</w:t>
      </w:r>
      <w:proofErr w:type="spellEnd"/>
      <w:r w:rsidR="00C31D20" w:rsidRPr="00197AF3">
        <w:rPr>
          <w:rFonts w:ascii="Arial" w:hAnsi="Arial" w:cs="Arial"/>
          <w:color w:val="000000" w:themeColor="text1"/>
        </w:rPr>
        <w:t xml:space="preserve"> </w:t>
      </w:r>
      <w:proofErr w:type="spellStart"/>
      <w:r w:rsidR="00C31D20" w:rsidRPr="00197AF3">
        <w:rPr>
          <w:rFonts w:ascii="Arial" w:hAnsi="Arial" w:cs="Arial"/>
          <w:color w:val="000000" w:themeColor="text1"/>
        </w:rPr>
        <w:t>Tanker</w:t>
      </w:r>
      <w:proofErr w:type="spellEnd"/>
      <w:r w:rsidR="00C31D20" w:rsidRPr="00197AF3">
        <w:rPr>
          <w:rFonts w:ascii="Arial" w:hAnsi="Arial" w:cs="Arial"/>
          <w:color w:val="000000" w:themeColor="text1"/>
        </w:rPr>
        <w:t xml:space="preserve"> Nominal </w:t>
      </w:r>
      <w:proofErr w:type="spellStart"/>
      <w:r w:rsidR="00C31D20" w:rsidRPr="00197AF3">
        <w:rPr>
          <w:rFonts w:ascii="Arial" w:hAnsi="Arial" w:cs="Arial"/>
          <w:color w:val="000000" w:themeColor="text1"/>
        </w:rPr>
        <w:t>Freight</w:t>
      </w:r>
      <w:proofErr w:type="spellEnd"/>
      <w:r w:rsidR="00C31D20" w:rsidRPr="00197AF3">
        <w:rPr>
          <w:rFonts w:ascii="Arial" w:hAnsi="Arial" w:cs="Arial"/>
          <w:color w:val="000000" w:themeColor="text1"/>
        </w:rPr>
        <w:t xml:space="preserve"> </w:t>
      </w:r>
      <w:proofErr w:type="spellStart"/>
      <w:r w:rsidR="00C31D20" w:rsidRPr="00197AF3">
        <w:rPr>
          <w:rFonts w:ascii="Arial" w:hAnsi="Arial" w:cs="Arial"/>
          <w:color w:val="000000" w:themeColor="text1"/>
        </w:rPr>
        <w:t>Scale</w:t>
      </w:r>
      <w:proofErr w:type="spellEnd"/>
      <w:r w:rsidR="00C31D20" w:rsidRPr="00197AF3">
        <w:rPr>
          <w:rFonts w:ascii="Arial" w:hAnsi="Arial" w:cs="Arial"/>
          <w:color w:val="000000" w:themeColor="text1"/>
        </w:rPr>
        <w:t xml:space="preserve"> “</w:t>
      </w:r>
      <w:proofErr w:type="spellStart"/>
      <w:r w:rsidR="00C31D20" w:rsidRPr="00197AF3">
        <w:rPr>
          <w:rFonts w:ascii="Arial" w:hAnsi="Arial" w:cs="Arial"/>
          <w:color w:val="000000" w:themeColor="text1"/>
        </w:rPr>
        <w:t>Worldscale</w:t>
      </w:r>
      <w:proofErr w:type="spellEnd"/>
      <w:r w:rsidR="00C31D20" w:rsidRPr="00197AF3">
        <w:rPr>
          <w:rFonts w:ascii="Arial" w:hAnsi="Arial" w:cs="Arial"/>
          <w:color w:val="000000" w:themeColor="text1"/>
        </w:rPr>
        <w:t>”, expresado en dólares por tonelada métrica, en el día t.</w:t>
      </w:r>
    </w:p>
    <w:p w:rsidR="00C31D20" w:rsidRPr="00197AF3" w:rsidRDefault="00C31D20" w:rsidP="00C31D20">
      <w:pPr>
        <w:pStyle w:val="Ttulo2"/>
        <w:spacing w:before="0"/>
        <w:contextualSpacing/>
        <w:jc w:val="both"/>
        <w:rPr>
          <w:rFonts w:ascii="Arial" w:hAnsi="Arial" w:cs="Arial"/>
          <w:color w:val="000000" w:themeColor="text1"/>
          <w:sz w:val="24"/>
          <w:szCs w:val="24"/>
        </w:rPr>
      </w:pPr>
      <w:r w:rsidRPr="00197AF3">
        <w:rPr>
          <w:rFonts w:ascii="Arial" w:hAnsi="Arial" w:cs="Arial"/>
          <w:b/>
          <w:bCs/>
          <w:color w:val="000000" w:themeColor="text1"/>
          <w:sz w:val="24"/>
          <w:szCs w:val="24"/>
        </w:rPr>
        <w:lastRenderedPageBreak/>
        <w:t>F</w:t>
      </w:r>
      <w:r w:rsidRPr="00197AF3">
        <w:rPr>
          <w:rFonts w:ascii="Arial" w:hAnsi="Arial" w:cs="Arial"/>
          <w:color w:val="000000" w:themeColor="text1"/>
          <w:sz w:val="24"/>
          <w:szCs w:val="24"/>
        </w:rPr>
        <w:t>: Factor de conversión de toneladas métricas a barriles. Para el caso del ACPM este es factor de 7.491 a 34o API.</w:t>
      </w:r>
    </w:p>
    <w:p w:rsidR="00C31D20" w:rsidRPr="00197AF3" w:rsidRDefault="00C31D20" w:rsidP="00C31D20">
      <w:pPr>
        <w:pStyle w:val="Ttulo2"/>
        <w:spacing w:before="0"/>
        <w:contextualSpacing/>
        <w:jc w:val="both"/>
        <w:rPr>
          <w:rFonts w:ascii="Arial" w:hAnsi="Arial" w:cs="Arial"/>
          <w:color w:val="000000" w:themeColor="text1"/>
          <w:sz w:val="24"/>
          <w:szCs w:val="24"/>
        </w:rPr>
      </w:pPr>
      <w:r w:rsidRPr="00197AF3">
        <w:rPr>
          <w:rFonts w:ascii="Arial" w:hAnsi="Arial" w:cs="Arial"/>
          <w:b/>
          <w:bCs/>
          <w:color w:val="000000" w:themeColor="text1"/>
          <w:sz w:val="24"/>
          <w:szCs w:val="24"/>
        </w:rPr>
        <w:t>42</w:t>
      </w:r>
      <w:r w:rsidRPr="00197AF3">
        <w:rPr>
          <w:rFonts w:ascii="Arial" w:hAnsi="Arial" w:cs="Arial"/>
          <w:color w:val="000000" w:themeColor="text1"/>
          <w:sz w:val="24"/>
          <w:szCs w:val="24"/>
        </w:rPr>
        <w:t>: Factor de conversión de barril a galón.</w:t>
      </w:r>
    </w:p>
    <w:p w:rsidR="00C31D20" w:rsidRPr="00197AF3" w:rsidRDefault="00C31D20" w:rsidP="00C31D20">
      <w:pPr>
        <w:pStyle w:val="Ttulo2"/>
        <w:spacing w:before="0"/>
        <w:contextualSpacing/>
        <w:jc w:val="both"/>
        <w:rPr>
          <w:rFonts w:ascii="Arial" w:hAnsi="Arial" w:cs="Arial"/>
          <w:color w:val="000000" w:themeColor="text1"/>
          <w:sz w:val="24"/>
          <w:szCs w:val="24"/>
        </w:rPr>
      </w:pPr>
      <w:proofErr w:type="spellStart"/>
      <w:r w:rsidRPr="00197AF3">
        <w:rPr>
          <w:rFonts w:ascii="Arial" w:hAnsi="Arial" w:cs="Arial"/>
          <w:b/>
          <w:bCs/>
          <w:color w:val="000000" w:themeColor="text1"/>
          <w:sz w:val="24"/>
          <w:szCs w:val="24"/>
        </w:rPr>
        <w:t>STR</w:t>
      </w:r>
      <w:r w:rsidRPr="00197AF3">
        <w:rPr>
          <w:rFonts w:ascii="Arial" w:hAnsi="Arial" w:cs="Arial"/>
          <w:b/>
          <w:bCs/>
          <w:color w:val="000000" w:themeColor="text1"/>
          <w:sz w:val="24"/>
          <w:szCs w:val="24"/>
          <w:vertAlign w:val="subscript"/>
        </w:rPr>
        <w:t>t</w:t>
      </w:r>
      <w:proofErr w:type="spellEnd"/>
      <w:r w:rsidRPr="00197AF3">
        <w:rPr>
          <w:rFonts w:ascii="Arial" w:hAnsi="Arial" w:cs="Arial"/>
          <w:b/>
          <w:bCs/>
          <w:color w:val="000000" w:themeColor="text1"/>
          <w:sz w:val="24"/>
          <w:szCs w:val="24"/>
        </w:rPr>
        <w:t>:</w:t>
      </w:r>
      <w:r w:rsidRPr="00197AF3">
        <w:rPr>
          <w:rFonts w:ascii="Arial" w:hAnsi="Arial" w:cs="Arial"/>
          <w:color w:val="000000" w:themeColor="text1"/>
          <w:sz w:val="24"/>
          <w:szCs w:val="24"/>
        </w:rPr>
        <w:t xml:space="preserve"> Corresponde a la cotización diaria, del factor de corrección de mercado para el flete de los tanqueros limpios de 38.000 toneladas métricas para la ruta CARIB/USG, de la publicación </w:t>
      </w:r>
      <w:proofErr w:type="spellStart"/>
      <w:r w:rsidRPr="00197AF3">
        <w:rPr>
          <w:rFonts w:ascii="Arial" w:hAnsi="Arial" w:cs="Arial"/>
          <w:color w:val="000000" w:themeColor="text1"/>
          <w:sz w:val="24"/>
          <w:szCs w:val="24"/>
        </w:rPr>
        <w:t>PLATT’s</w:t>
      </w:r>
      <w:proofErr w:type="spellEnd"/>
      <w:r w:rsidRPr="00197AF3">
        <w:rPr>
          <w:rFonts w:ascii="Arial" w:hAnsi="Arial" w:cs="Arial"/>
          <w:color w:val="000000" w:themeColor="text1"/>
          <w:sz w:val="24"/>
          <w:szCs w:val="24"/>
        </w:rPr>
        <w:t xml:space="preserve"> de Standard &amp; </w:t>
      </w:r>
      <w:proofErr w:type="spellStart"/>
      <w:r w:rsidRPr="00197AF3">
        <w:rPr>
          <w:rFonts w:ascii="Arial" w:hAnsi="Arial" w:cs="Arial"/>
          <w:color w:val="000000" w:themeColor="text1"/>
          <w:sz w:val="24"/>
          <w:szCs w:val="24"/>
        </w:rPr>
        <w:t>Poor’s</w:t>
      </w:r>
      <w:proofErr w:type="spellEnd"/>
      <w:r w:rsidRPr="00197AF3">
        <w:rPr>
          <w:rFonts w:ascii="Arial" w:hAnsi="Arial" w:cs="Arial"/>
          <w:color w:val="000000" w:themeColor="text1"/>
          <w:sz w:val="24"/>
          <w:szCs w:val="24"/>
        </w:rPr>
        <w:t xml:space="preserve">, expresado en unidades de </w:t>
      </w:r>
      <w:proofErr w:type="spellStart"/>
      <w:r w:rsidRPr="00197AF3">
        <w:rPr>
          <w:rFonts w:ascii="Arial" w:hAnsi="Arial" w:cs="Arial"/>
          <w:color w:val="000000" w:themeColor="text1"/>
          <w:sz w:val="24"/>
          <w:szCs w:val="24"/>
        </w:rPr>
        <w:t>Worldscale</w:t>
      </w:r>
      <w:proofErr w:type="spellEnd"/>
      <w:r w:rsidRPr="00197AF3">
        <w:rPr>
          <w:rFonts w:ascii="Arial" w:hAnsi="Arial" w:cs="Arial"/>
          <w:color w:val="000000" w:themeColor="text1"/>
          <w:sz w:val="24"/>
          <w:szCs w:val="24"/>
        </w:rPr>
        <w:t xml:space="preserve"> (WS </w:t>
      </w:r>
      <w:proofErr w:type="spellStart"/>
      <w:r w:rsidRPr="00197AF3">
        <w:rPr>
          <w:rFonts w:ascii="Arial" w:hAnsi="Arial" w:cs="Arial"/>
          <w:color w:val="000000" w:themeColor="text1"/>
          <w:sz w:val="24"/>
          <w:szCs w:val="24"/>
        </w:rPr>
        <w:t>Assess</w:t>
      </w:r>
      <w:proofErr w:type="spellEnd"/>
      <w:r w:rsidRPr="00197AF3">
        <w:rPr>
          <w:rFonts w:ascii="Arial" w:hAnsi="Arial" w:cs="Arial"/>
          <w:color w:val="000000" w:themeColor="text1"/>
          <w:sz w:val="24"/>
          <w:szCs w:val="24"/>
        </w:rPr>
        <w:t>), en el día t.</w:t>
      </w:r>
    </w:p>
    <w:p w:rsidR="00C31D20" w:rsidRPr="00197AF3" w:rsidRDefault="00C31D20" w:rsidP="00C31D20">
      <w:pPr>
        <w:contextualSpacing/>
        <w:jc w:val="both"/>
        <w:rPr>
          <w:rFonts w:ascii="Arial" w:hAnsi="Arial" w:cs="Arial"/>
          <w:color w:val="000000" w:themeColor="text1"/>
        </w:rPr>
      </w:pPr>
    </w:p>
    <w:p w:rsidR="00C31D20" w:rsidRPr="00197AF3" w:rsidRDefault="00C31D20" w:rsidP="00C31D20">
      <w:pPr>
        <w:pStyle w:val="Ttulo2"/>
        <w:spacing w:before="0"/>
        <w:contextualSpacing/>
        <w:jc w:val="both"/>
        <w:rPr>
          <w:rFonts w:ascii="Arial" w:hAnsi="Arial" w:cs="Arial"/>
          <w:color w:val="000000" w:themeColor="text1"/>
          <w:sz w:val="24"/>
          <w:szCs w:val="24"/>
        </w:rPr>
      </w:pPr>
      <w:r>
        <w:rPr>
          <w:rFonts w:ascii="Arial" w:hAnsi="Arial" w:cs="Arial"/>
          <w:b/>
          <w:bCs/>
          <w:color w:val="000000" w:themeColor="text1"/>
          <w:sz w:val="24"/>
          <w:szCs w:val="24"/>
        </w:rPr>
        <w:t>Paridad Importación d</w:t>
      </w:r>
      <w:r w:rsidRPr="00197AF3">
        <w:rPr>
          <w:rFonts w:ascii="Arial" w:hAnsi="Arial" w:cs="Arial"/>
          <w:b/>
          <w:bCs/>
          <w:color w:val="000000" w:themeColor="text1"/>
          <w:sz w:val="24"/>
          <w:szCs w:val="24"/>
        </w:rPr>
        <w:t>el ACPM - PPIMPO</w:t>
      </w:r>
      <w:r w:rsidRPr="00197AF3">
        <w:rPr>
          <w:rFonts w:ascii="Arial" w:hAnsi="Arial" w:cs="Arial"/>
          <w:b/>
          <w:bCs/>
          <w:color w:val="000000" w:themeColor="text1"/>
          <w:sz w:val="24"/>
          <w:szCs w:val="24"/>
          <w:vertAlign w:val="subscript"/>
        </w:rPr>
        <w:t>T,X</w:t>
      </w:r>
      <w:r w:rsidRPr="00197AF3">
        <w:rPr>
          <w:rFonts w:ascii="Arial" w:hAnsi="Arial" w:cs="Arial"/>
          <w:b/>
          <w:bCs/>
          <w:color w:val="000000" w:themeColor="text1"/>
          <w:sz w:val="24"/>
          <w:szCs w:val="24"/>
        </w:rPr>
        <w:t>:</w:t>
      </w:r>
      <w:r w:rsidRPr="00197AF3">
        <w:rPr>
          <w:rFonts w:ascii="Arial" w:hAnsi="Arial" w:cs="Arial"/>
          <w:color w:val="000000" w:themeColor="text1"/>
          <w:sz w:val="24"/>
          <w:szCs w:val="24"/>
        </w:rPr>
        <w:t xml:space="preserve"> Corresponde al precio paridad importación, referenciado al mercado del Golfo de los Estados Unidos de América, de cada observación diaria del ACPM para uso en motores diésel y se calculará como el promedio ponderado de los índices: Diésel 2, ULSD (ultra </w:t>
      </w:r>
      <w:proofErr w:type="spellStart"/>
      <w:r w:rsidRPr="00197AF3">
        <w:rPr>
          <w:rFonts w:ascii="Arial" w:hAnsi="Arial" w:cs="Arial"/>
          <w:color w:val="000000" w:themeColor="text1"/>
          <w:sz w:val="24"/>
          <w:szCs w:val="24"/>
        </w:rPr>
        <w:t>low</w:t>
      </w:r>
      <w:proofErr w:type="spellEnd"/>
      <w:r w:rsidRPr="00197AF3">
        <w:rPr>
          <w:rFonts w:ascii="Arial" w:hAnsi="Arial" w:cs="Arial"/>
          <w:color w:val="000000" w:themeColor="text1"/>
          <w:sz w:val="24"/>
          <w:szCs w:val="24"/>
        </w:rPr>
        <w:t xml:space="preserve"> </w:t>
      </w:r>
      <w:proofErr w:type="spellStart"/>
      <w:r w:rsidRPr="00197AF3">
        <w:rPr>
          <w:rFonts w:ascii="Arial" w:hAnsi="Arial" w:cs="Arial"/>
          <w:color w:val="000000" w:themeColor="text1"/>
          <w:sz w:val="24"/>
          <w:szCs w:val="24"/>
        </w:rPr>
        <w:t>sulfur</w:t>
      </w:r>
      <w:proofErr w:type="spellEnd"/>
      <w:r w:rsidRPr="00197AF3">
        <w:rPr>
          <w:rFonts w:ascii="Arial" w:hAnsi="Arial" w:cs="Arial"/>
          <w:color w:val="000000" w:themeColor="text1"/>
          <w:sz w:val="24"/>
          <w:szCs w:val="24"/>
        </w:rPr>
        <w:t xml:space="preserve"> diésel), y LSD (</w:t>
      </w:r>
      <w:proofErr w:type="spellStart"/>
      <w:r w:rsidRPr="00197AF3">
        <w:rPr>
          <w:rFonts w:ascii="Arial" w:hAnsi="Arial" w:cs="Arial"/>
          <w:color w:val="000000" w:themeColor="text1"/>
          <w:sz w:val="24"/>
          <w:szCs w:val="24"/>
        </w:rPr>
        <w:t>low</w:t>
      </w:r>
      <w:proofErr w:type="spellEnd"/>
      <w:r w:rsidRPr="00197AF3">
        <w:rPr>
          <w:rFonts w:ascii="Arial" w:hAnsi="Arial" w:cs="Arial"/>
          <w:color w:val="000000" w:themeColor="text1"/>
          <w:sz w:val="24"/>
          <w:szCs w:val="24"/>
        </w:rPr>
        <w:t xml:space="preserve"> </w:t>
      </w:r>
      <w:proofErr w:type="spellStart"/>
      <w:r w:rsidRPr="00197AF3">
        <w:rPr>
          <w:rFonts w:ascii="Arial" w:hAnsi="Arial" w:cs="Arial"/>
          <w:color w:val="000000" w:themeColor="text1"/>
          <w:sz w:val="24"/>
          <w:szCs w:val="24"/>
        </w:rPr>
        <w:t>sulfur</w:t>
      </w:r>
      <w:proofErr w:type="spellEnd"/>
      <w:r w:rsidRPr="00197AF3">
        <w:rPr>
          <w:rFonts w:ascii="Arial" w:hAnsi="Arial" w:cs="Arial"/>
          <w:color w:val="000000" w:themeColor="text1"/>
          <w:sz w:val="24"/>
          <w:szCs w:val="24"/>
        </w:rPr>
        <w:t xml:space="preserve"> diésel) de la Costa del Golfo de los Estados Unidos de América, con base en los volúmenes de las corrientes de diferentes calidades utilizadas por todos los refinadores para la producción de diésel en la calidad exigida por la regulación, mediante la siguiente ecuación:</w:t>
      </w:r>
    </w:p>
    <w:p w:rsidR="00C31D20" w:rsidRPr="00197AF3" w:rsidRDefault="00C31D20" w:rsidP="00C31D20">
      <w:pPr>
        <w:contextualSpacing/>
        <w:jc w:val="both"/>
        <w:rPr>
          <w:rFonts w:ascii="Arial" w:hAnsi="Arial" w:cs="Arial"/>
          <w:color w:val="000000" w:themeColor="text1"/>
        </w:rPr>
      </w:pPr>
    </w:p>
    <w:p w:rsidR="00C31D20" w:rsidRPr="00197AF3" w:rsidRDefault="00C31D20" w:rsidP="00C31D20">
      <w:pPr>
        <w:contextualSpacing/>
        <w:jc w:val="both"/>
        <w:rPr>
          <w:rFonts w:ascii="Arial" w:hAnsi="Arial" w:cs="Arial"/>
          <w:color w:val="000000" w:themeColor="text1"/>
        </w:rPr>
      </w:pPr>
      <w:r w:rsidRPr="00197AF3">
        <w:rPr>
          <w:rFonts w:ascii="Arial" w:hAnsi="Arial" w:cs="Arial"/>
          <w:color w:val="000000" w:themeColor="text1"/>
        </w:rPr>
        <w:fldChar w:fldCharType="begin"/>
      </w:r>
      <w:r w:rsidRPr="00197AF3">
        <w:rPr>
          <w:rFonts w:ascii="Arial" w:hAnsi="Arial" w:cs="Arial"/>
          <w:color w:val="000000" w:themeColor="text1"/>
        </w:rPr>
        <w:instrText xml:space="preserve"> INCLUDEPICTURE "http://static.legal.legis.com.co/807b8a71386745dd90500599bcae7664.JPG" \* MERGEFORMATINET </w:instrText>
      </w:r>
      <w:r w:rsidRPr="00197AF3">
        <w:rPr>
          <w:rFonts w:ascii="Arial" w:hAnsi="Arial" w:cs="Arial"/>
          <w:color w:val="000000" w:themeColor="text1"/>
        </w:rPr>
        <w:fldChar w:fldCharType="separate"/>
      </w:r>
      <w:r w:rsidRPr="00197AF3">
        <w:rPr>
          <w:rFonts w:ascii="Arial" w:hAnsi="Arial" w:cs="Arial"/>
          <w:noProof/>
          <w:color w:val="000000" w:themeColor="text1"/>
          <w:lang w:eastAsia="es-CO"/>
        </w:rPr>
        <w:drawing>
          <wp:inline distT="0" distB="0" distL="0" distR="0" wp14:anchorId="2DD35AE2" wp14:editId="20526B5E">
            <wp:extent cx="5612130" cy="557530"/>
            <wp:effectExtent l="0" t="0" r="1270" b="1270"/>
            <wp:docPr id="8" name="Imagen 8" descr="R181491MM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R181491MME(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557530"/>
                    </a:xfrm>
                    <a:prstGeom prst="rect">
                      <a:avLst/>
                    </a:prstGeom>
                    <a:noFill/>
                    <a:ln>
                      <a:noFill/>
                    </a:ln>
                  </pic:spPr>
                </pic:pic>
              </a:graphicData>
            </a:graphic>
          </wp:inline>
        </w:drawing>
      </w:r>
      <w:r w:rsidRPr="00197AF3">
        <w:rPr>
          <w:rFonts w:ascii="Arial" w:hAnsi="Arial" w:cs="Arial"/>
          <w:color w:val="000000" w:themeColor="text1"/>
        </w:rPr>
        <w:fldChar w:fldCharType="end"/>
      </w:r>
    </w:p>
    <w:p w:rsidR="00C31D20" w:rsidRPr="00197AF3" w:rsidRDefault="00C31D20" w:rsidP="00C31D20">
      <w:pPr>
        <w:contextualSpacing/>
        <w:jc w:val="both"/>
        <w:rPr>
          <w:rFonts w:ascii="Arial" w:hAnsi="Arial" w:cs="Arial"/>
          <w:color w:val="000000" w:themeColor="text1"/>
        </w:rPr>
      </w:pPr>
      <w:r w:rsidRPr="00197AF3">
        <w:rPr>
          <w:rFonts w:ascii="Arial" w:hAnsi="Arial" w:cs="Arial"/>
          <w:color w:val="000000" w:themeColor="text1"/>
        </w:rPr>
        <w:t> Dónde:</w:t>
      </w:r>
    </w:p>
    <w:p w:rsidR="00C31D20" w:rsidRPr="00197AF3" w:rsidRDefault="00C31D20" w:rsidP="00C31D20">
      <w:pPr>
        <w:pStyle w:val="unico"/>
        <w:spacing w:before="180" w:beforeAutospacing="0" w:after="0" w:afterAutospacing="0"/>
        <w:contextualSpacing/>
        <w:jc w:val="center"/>
        <w:rPr>
          <w:rFonts w:ascii="Arial" w:hAnsi="Arial" w:cs="Arial"/>
          <w:b/>
          <w:bCs/>
          <w:color w:val="000000" w:themeColor="text1"/>
        </w:rPr>
      </w:pPr>
      <w:r w:rsidRPr="00197AF3">
        <w:rPr>
          <w:rFonts w:ascii="Arial" w:hAnsi="Arial" w:cs="Arial"/>
          <w:b/>
          <w:bCs/>
          <w:color w:val="000000" w:themeColor="text1"/>
        </w:rPr>
        <w:t>SE=S* PROULS</w:t>
      </w:r>
    </w:p>
    <w:p w:rsidR="00C31D20" w:rsidRPr="00197AF3" w:rsidRDefault="00C31D20" w:rsidP="00C31D20">
      <w:pPr>
        <w:pStyle w:val="unico"/>
        <w:spacing w:before="180" w:beforeAutospacing="0" w:after="0" w:afterAutospacing="0"/>
        <w:contextualSpacing/>
        <w:jc w:val="both"/>
        <w:rPr>
          <w:rFonts w:ascii="Arial" w:hAnsi="Arial" w:cs="Arial"/>
          <w:color w:val="000000" w:themeColor="text1"/>
        </w:rPr>
      </w:pPr>
    </w:p>
    <w:p w:rsidR="00C31D20" w:rsidRPr="00197AF3" w:rsidRDefault="00C31D20" w:rsidP="00C31D20">
      <w:pPr>
        <w:pStyle w:val="Ttulo2"/>
        <w:spacing w:before="0"/>
        <w:contextualSpacing/>
        <w:jc w:val="both"/>
        <w:rPr>
          <w:rFonts w:ascii="Arial" w:hAnsi="Arial" w:cs="Arial"/>
          <w:color w:val="000000" w:themeColor="text1"/>
          <w:sz w:val="24"/>
          <w:szCs w:val="24"/>
        </w:rPr>
      </w:pPr>
      <w:r w:rsidRPr="00197AF3">
        <w:rPr>
          <w:rFonts w:ascii="Arial" w:hAnsi="Arial" w:cs="Arial"/>
          <w:b/>
          <w:bCs/>
          <w:color w:val="000000" w:themeColor="text1"/>
          <w:sz w:val="24"/>
          <w:szCs w:val="24"/>
        </w:rPr>
        <w:t>SE:</w:t>
      </w:r>
      <w:r w:rsidRPr="00197AF3">
        <w:rPr>
          <w:rFonts w:ascii="Arial" w:hAnsi="Arial" w:cs="Arial"/>
          <w:color w:val="000000" w:themeColor="text1"/>
          <w:sz w:val="24"/>
          <w:szCs w:val="24"/>
        </w:rPr>
        <w:t> Será el costo de los seguros marítimos o terrestres y demás costos incurridos para transportar un galán de ACPM desde la Costa del Golfo de los Estados Unidos hasta el puerto de importación local, expresado en dólares por galón (US$/Galón), el cual será calculado de acuerdo con la siguiente fórmula:</w:t>
      </w:r>
    </w:p>
    <w:p w:rsidR="00C31D20" w:rsidRPr="00197AF3" w:rsidRDefault="00C31D20" w:rsidP="00C31D20">
      <w:pPr>
        <w:pStyle w:val="unico"/>
        <w:spacing w:before="180" w:beforeAutospacing="0" w:after="0" w:afterAutospacing="0"/>
        <w:contextualSpacing/>
        <w:jc w:val="both"/>
        <w:rPr>
          <w:rFonts w:ascii="Arial" w:hAnsi="Arial" w:cs="Arial"/>
          <w:color w:val="000000" w:themeColor="text1"/>
        </w:rPr>
      </w:pPr>
      <w:r w:rsidRPr="00197AF3">
        <w:rPr>
          <w:rFonts w:ascii="Arial" w:hAnsi="Arial" w:cs="Arial"/>
          <w:b/>
          <w:bCs/>
          <w:color w:val="000000" w:themeColor="text1"/>
        </w:rPr>
        <w:t>S:</w:t>
      </w:r>
      <w:r w:rsidRPr="00197AF3">
        <w:rPr>
          <w:rFonts w:ascii="Arial" w:hAnsi="Arial" w:cs="Arial"/>
          <w:color w:val="000000" w:themeColor="text1"/>
        </w:rPr>
        <w:t xml:space="preserve"> Será el factor multiplicador utilizado para el cálculo de los seguros (SE). El factor vigente a partir de la entrada en vigencia de la presente </w:t>
      </w:r>
      <w:r>
        <w:rPr>
          <w:rFonts w:ascii="Arial" w:hAnsi="Arial" w:cs="Arial"/>
          <w:color w:val="000000" w:themeColor="text1"/>
        </w:rPr>
        <w:t>ley</w:t>
      </w:r>
      <w:r w:rsidRPr="00197AF3">
        <w:rPr>
          <w:rFonts w:ascii="Arial" w:hAnsi="Arial" w:cs="Arial"/>
          <w:color w:val="000000" w:themeColor="text1"/>
        </w:rPr>
        <w:t xml:space="preserve"> será 0.000387.</w:t>
      </w:r>
    </w:p>
    <w:p w:rsidR="00C31D20" w:rsidRPr="00197AF3" w:rsidRDefault="00C31D20" w:rsidP="00C31D20">
      <w:pPr>
        <w:pStyle w:val="unico"/>
        <w:spacing w:before="180" w:beforeAutospacing="0" w:after="0" w:afterAutospacing="0"/>
        <w:contextualSpacing/>
        <w:jc w:val="both"/>
        <w:rPr>
          <w:rFonts w:ascii="Arial" w:hAnsi="Arial" w:cs="Arial"/>
          <w:color w:val="000000" w:themeColor="text1"/>
        </w:rPr>
      </w:pPr>
      <w:r w:rsidRPr="00197AF3">
        <w:rPr>
          <w:rFonts w:ascii="Arial" w:hAnsi="Arial" w:cs="Arial"/>
          <w:color w:val="000000" w:themeColor="text1"/>
        </w:rPr>
        <w:t>Este factor multipl</w:t>
      </w:r>
      <w:r>
        <w:rPr>
          <w:rFonts w:ascii="Arial" w:hAnsi="Arial" w:cs="Arial"/>
          <w:color w:val="000000" w:themeColor="text1"/>
        </w:rPr>
        <w:t>icador será revisado anualmente</w:t>
      </w:r>
      <w:r w:rsidRPr="00197AF3">
        <w:rPr>
          <w:rFonts w:ascii="Arial" w:hAnsi="Arial" w:cs="Arial"/>
          <w:color w:val="000000" w:themeColor="text1"/>
        </w:rPr>
        <w:t xml:space="preserve">. Para cada año el Ministerio de Minas y Energía </w:t>
      </w:r>
      <w:r>
        <w:rPr>
          <w:rFonts w:ascii="Arial" w:hAnsi="Arial" w:cs="Arial"/>
          <w:color w:val="000000" w:themeColor="text1"/>
        </w:rPr>
        <w:t xml:space="preserve">con verificación y supervisión del </w:t>
      </w:r>
      <w:r w:rsidRPr="00197AF3">
        <w:rPr>
          <w:rFonts w:ascii="Arial" w:hAnsi="Arial" w:cs="Arial"/>
          <w:color w:val="000000" w:themeColor="text1"/>
        </w:rPr>
        <w:t>Observatorio de Control y Vigilancia de las Finanzas y las Políticas Públicas</w:t>
      </w:r>
      <w:r w:rsidRPr="00197AF3">
        <w:rPr>
          <w:rFonts w:ascii="Arial" w:hAnsi="Arial" w:cs="Arial"/>
          <w:b/>
          <w:bCs/>
          <w:color w:val="000000" w:themeColor="text1"/>
        </w:rPr>
        <w:t xml:space="preserve"> - </w:t>
      </w:r>
      <w:r w:rsidRPr="00197AF3">
        <w:rPr>
          <w:rFonts w:ascii="Arial" w:hAnsi="Arial" w:cs="Arial"/>
          <w:color w:val="000000" w:themeColor="text1"/>
          <w:shd w:val="clear" w:color="auto" w:fill="FFFFFF"/>
        </w:rPr>
        <w:t>Contraloría General de la República</w:t>
      </w:r>
      <w:r w:rsidRPr="00197AF3">
        <w:rPr>
          <w:rFonts w:ascii="Arial" w:hAnsi="Arial" w:cs="Arial"/>
          <w:color w:val="000000" w:themeColor="text1"/>
        </w:rPr>
        <w:t xml:space="preserve"> fijará el valor de S, con base en el promedio de cotizaciones de mínimo tres (3) compañías de seguros internacionales, cuya calificación de deuda en dólares de largo plazo será igual o superior a BBB- de Standard &amp; </w:t>
      </w:r>
      <w:proofErr w:type="spellStart"/>
      <w:r w:rsidRPr="00197AF3">
        <w:rPr>
          <w:rFonts w:ascii="Arial" w:hAnsi="Arial" w:cs="Arial"/>
          <w:color w:val="000000" w:themeColor="text1"/>
        </w:rPr>
        <w:t>Poor’s</w:t>
      </w:r>
      <w:proofErr w:type="spellEnd"/>
      <w:r w:rsidRPr="00197AF3">
        <w:rPr>
          <w:rFonts w:ascii="Arial" w:hAnsi="Arial" w:cs="Arial"/>
          <w:color w:val="000000" w:themeColor="text1"/>
        </w:rPr>
        <w:t>, o tenga un grado de calificación equivalente otorgado por otra agencia internacional de calificación de riesgo.</w:t>
      </w:r>
    </w:p>
    <w:p w:rsidR="00C31D20" w:rsidRPr="00197AF3" w:rsidRDefault="00C31D20" w:rsidP="00C31D20">
      <w:pPr>
        <w:pStyle w:val="unico"/>
        <w:spacing w:before="180" w:beforeAutospacing="0" w:after="0" w:afterAutospacing="0"/>
        <w:contextualSpacing/>
        <w:jc w:val="both"/>
        <w:rPr>
          <w:rFonts w:ascii="Arial" w:hAnsi="Arial" w:cs="Arial"/>
          <w:color w:val="000000" w:themeColor="text1"/>
        </w:rPr>
      </w:pPr>
    </w:p>
    <w:p w:rsidR="00C31D20" w:rsidRPr="00197AF3" w:rsidRDefault="00C31D20" w:rsidP="00C31D20">
      <w:pPr>
        <w:pStyle w:val="Ttulo2"/>
        <w:spacing w:before="0"/>
        <w:contextualSpacing/>
        <w:jc w:val="both"/>
        <w:rPr>
          <w:rFonts w:ascii="Arial" w:hAnsi="Arial" w:cs="Arial"/>
          <w:color w:val="000000" w:themeColor="text1"/>
          <w:sz w:val="24"/>
          <w:szCs w:val="24"/>
        </w:rPr>
      </w:pPr>
      <w:r w:rsidRPr="00197AF3">
        <w:rPr>
          <w:rFonts w:ascii="Arial" w:hAnsi="Arial" w:cs="Arial"/>
          <w:b/>
          <w:bCs/>
          <w:color w:val="000000" w:themeColor="text1"/>
          <w:sz w:val="24"/>
          <w:szCs w:val="24"/>
        </w:rPr>
        <w:lastRenderedPageBreak/>
        <w:t>PROULS:</w:t>
      </w:r>
      <w:r w:rsidRPr="00197AF3">
        <w:rPr>
          <w:rFonts w:ascii="Arial" w:hAnsi="Arial" w:cs="Arial"/>
          <w:color w:val="000000" w:themeColor="text1"/>
          <w:sz w:val="24"/>
          <w:szCs w:val="24"/>
        </w:rPr>
        <w:t xml:space="preserve"> Será el promedio de las cotizaciones del Índice ULSD (ultra </w:t>
      </w:r>
      <w:proofErr w:type="spellStart"/>
      <w:r w:rsidRPr="00197AF3">
        <w:rPr>
          <w:rFonts w:ascii="Arial" w:hAnsi="Arial" w:cs="Arial"/>
          <w:color w:val="000000" w:themeColor="text1"/>
          <w:sz w:val="24"/>
          <w:szCs w:val="24"/>
        </w:rPr>
        <w:t>low</w:t>
      </w:r>
      <w:proofErr w:type="spellEnd"/>
      <w:r w:rsidRPr="00197AF3">
        <w:rPr>
          <w:rFonts w:ascii="Arial" w:hAnsi="Arial" w:cs="Arial"/>
          <w:color w:val="000000" w:themeColor="text1"/>
          <w:sz w:val="24"/>
          <w:szCs w:val="24"/>
        </w:rPr>
        <w:t xml:space="preserve"> </w:t>
      </w:r>
      <w:proofErr w:type="spellStart"/>
      <w:r w:rsidRPr="00197AF3">
        <w:rPr>
          <w:rFonts w:ascii="Arial" w:hAnsi="Arial" w:cs="Arial"/>
          <w:color w:val="000000" w:themeColor="text1"/>
          <w:sz w:val="24"/>
          <w:szCs w:val="24"/>
        </w:rPr>
        <w:t>sulfur</w:t>
      </w:r>
      <w:proofErr w:type="spellEnd"/>
      <w:r w:rsidRPr="00197AF3">
        <w:rPr>
          <w:rFonts w:ascii="Arial" w:hAnsi="Arial" w:cs="Arial"/>
          <w:color w:val="000000" w:themeColor="text1"/>
          <w:sz w:val="24"/>
          <w:szCs w:val="24"/>
        </w:rPr>
        <w:t xml:space="preserve"> diésel) U.S. </w:t>
      </w:r>
      <w:proofErr w:type="spellStart"/>
      <w:r w:rsidRPr="00197AF3">
        <w:rPr>
          <w:rFonts w:ascii="Arial" w:hAnsi="Arial" w:cs="Arial"/>
          <w:color w:val="000000" w:themeColor="text1"/>
          <w:sz w:val="24"/>
          <w:szCs w:val="24"/>
        </w:rPr>
        <w:t>Gulf</w:t>
      </w:r>
      <w:proofErr w:type="spellEnd"/>
      <w:r w:rsidRPr="00197AF3">
        <w:rPr>
          <w:rFonts w:ascii="Arial" w:hAnsi="Arial" w:cs="Arial"/>
          <w:color w:val="000000" w:themeColor="text1"/>
          <w:sz w:val="24"/>
          <w:szCs w:val="24"/>
        </w:rPr>
        <w:t xml:space="preserve"> </w:t>
      </w:r>
      <w:proofErr w:type="spellStart"/>
      <w:r w:rsidRPr="00197AF3">
        <w:rPr>
          <w:rFonts w:ascii="Arial" w:hAnsi="Arial" w:cs="Arial"/>
          <w:color w:val="000000" w:themeColor="text1"/>
          <w:sz w:val="24"/>
          <w:szCs w:val="24"/>
        </w:rPr>
        <w:t>Coast</w:t>
      </w:r>
      <w:proofErr w:type="spellEnd"/>
      <w:r w:rsidRPr="00197AF3">
        <w:rPr>
          <w:rFonts w:ascii="Arial" w:hAnsi="Arial" w:cs="Arial"/>
          <w:color w:val="000000" w:themeColor="text1"/>
          <w:sz w:val="24"/>
          <w:szCs w:val="24"/>
        </w:rPr>
        <w:t xml:space="preserve"> </w:t>
      </w:r>
      <w:proofErr w:type="spellStart"/>
      <w:r w:rsidRPr="00197AF3">
        <w:rPr>
          <w:rFonts w:ascii="Arial" w:hAnsi="Arial" w:cs="Arial"/>
          <w:color w:val="000000" w:themeColor="text1"/>
          <w:sz w:val="24"/>
          <w:szCs w:val="24"/>
        </w:rPr>
        <w:t>Waterborne</w:t>
      </w:r>
      <w:proofErr w:type="spellEnd"/>
      <w:r w:rsidRPr="00197AF3">
        <w:rPr>
          <w:rFonts w:ascii="Arial" w:hAnsi="Arial" w:cs="Arial"/>
          <w:color w:val="000000" w:themeColor="text1"/>
          <w:sz w:val="24"/>
          <w:szCs w:val="24"/>
        </w:rPr>
        <w:t xml:space="preserve"> de la publicación </w:t>
      </w:r>
      <w:proofErr w:type="spellStart"/>
      <w:r w:rsidRPr="00197AF3">
        <w:rPr>
          <w:rFonts w:ascii="Arial" w:hAnsi="Arial" w:cs="Arial"/>
          <w:color w:val="000000" w:themeColor="text1"/>
          <w:sz w:val="24"/>
          <w:szCs w:val="24"/>
        </w:rPr>
        <w:t>PLATTs</w:t>
      </w:r>
      <w:proofErr w:type="spellEnd"/>
      <w:r w:rsidRPr="00197AF3">
        <w:rPr>
          <w:rFonts w:ascii="Arial" w:hAnsi="Arial" w:cs="Arial"/>
          <w:color w:val="000000" w:themeColor="text1"/>
          <w:sz w:val="24"/>
          <w:szCs w:val="24"/>
        </w:rPr>
        <w:t xml:space="preserve"> de Standard &amp; </w:t>
      </w:r>
      <w:proofErr w:type="spellStart"/>
      <w:r w:rsidRPr="00197AF3">
        <w:rPr>
          <w:rFonts w:ascii="Arial" w:hAnsi="Arial" w:cs="Arial"/>
          <w:color w:val="000000" w:themeColor="text1"/>
          <w:sz w:val="24"/>
          <w:szCs w:val="24"/>
        </w:rPr>
        <w:t>Poor’s</w:t>
      </w:r>
      <w:proofErr w:type="spellEnd"/>
      <w:r w:rsidRPr="00197AF3">
        <w:rPr>
          <w:rFonts w:ascii="Arial" w:hAnsi="Arial" w:cs="Arial"/>
          <w:color w:val="000000" w:themeColor="text1"/>
          <w:sz w:val="24"/>
          <w:szCs w:val="24"/>
        </w:rPr>
        <w:t>, publicadas durante los últimos treinta (30) días calendario inmediatamente anteriores a la fecha de cálculo, expresadas en dólares por galán (US$/</w:t>
      </w:r>
      <w:proofErr w:type="spellStart"/>
      <w:r w:rsidRPr="00197AF3">
        <w:rPr>
          <w:rFonts w:ascii="Arial" w:hAnsi="Arial" w:cs="Arial"/>
          <w:color w:val="000000" w:themeColor="text1"/>
          <w:sz w:val="24"/>
          <w:szCs w:val="24"/>
        </w:rPr>
        <w:t>GaI</w:t>
      </w:r>
      <w:proofErr w:type="spellEnd"/>
      <w:r w:rsidRPr="00197AF3">
        <w:rPr>
          <w:rFonts w:ascii="Arial" w:hAnsi="Arial" w:cs="Arial"/>
          <w:color w:val="000000" w:themeColor="text1"/>
          <w:sz w:val="24"/>
          <w:szCs w:val="24"/>
        </w:rPr>
        <w:t>).</w:t>
      </w:r>
    </w:p>
    <w:p w:rsidR="00C31D20" w:rsidRPr="00197AF3" w:rsidRDefault="00C31D20" w:rsidP="00C31D20">
      <w:pPr>
        <w:contextualSpacing/>
        <w:rPr>
          <w:rFonts w:ascii="Arial" w:hAnsi="Arial" w:cs="Arial"/>
        </w:rPr>
      </w:pPr>
    </w:p>
    <w:p w:rsidR="00C31D20" w:rsidRPr="00197AF3" w:rsidRDefault="00C31D20" w:rsidP="00C31D20">
      <w:pPr>
        <w:pStyle w:val="Ttulo2"/>
        <w:spacing w:before="0"/>
        <w:contextualSpacing/>
        <w:jc w:val="both"/>
        <w:rPr>
          <w:rFonts w:ascii="Arial" w:hAnsi="Arial" w:cs="Arial"/>
          <w:color w:val="000000" w:themeColor="text1"/>
          <w:sz w:val="24"/>
          <w:szCs w:val="24"/>
        </w:rPr>
      </w:pPr>
      <w:r w:rsidRPr="00197AF3">
        <w:rPr>
          <w:rFonts w:ascii="Arial" w:hAnsi="Arial" w:cs="Arial"/>
          <w:b/>
          <w:bCs/>
          <w:color w:val="000000" w:themeColor="text1"/>
          <w:sz w:val="24"/>
          <w:szCs w:val="24"/>
        </w:rPr>
        <w:t>IM:</w:t>
      </w:r>
      <w:r w:rsidRPr="00197AF3">
        <w:rPr>
          <w:rFonts w:ascii="Arial" w:hAnsi="Arial" w:cs="Arial"/>
          <w:color w:val="000000" w:themeColor="text1"/>
          <w:sz w:val="24"/>
          <w:szCs w:val="24"/>
        </w:rPr>
        <w:t xml:space="preserve"> Será el valor de </w:t>
      </w:r>
      <w:proofErr w:type="spellStart"/>
      <w:r w:rsidRPr="00197AF3">
        <w:rPr>
          <w:rFonts w:ascii="Arial" w:hAnsi="Arial" w:cs="Arial"/>
          <w:color w:val="000000" w:themeColor="text1"/>
          <w:sz w:val="24"/>
          <w:szCs w:val="24"/>
        </w:rPr>
        <w:t>lzas</w:t>
      </w:r>
      <w:proofErr w:type="spellEnd"/>
      <w:r w:rsidRPr="00197AF3">
        <w:rPr>
          <w:rFonts w:ascii="Arial" w:hAnsi="Arial" w:cs="Arial"/>
          <w:color w:val="000000" w:themeColor="text1"/>
          <w:sz w:val="24"/>
          <w:szCs w:val="24"/>
        </w:rPr>
        <w:t xml:space="preserve"> inspecciones de calidad en puerto de cargue y descargue, expresado en dólares por galón (US$/galón). Este co</w:t>
      </w:r>
      <w:r>
        <w:rPr>
          <w:rFonts w:ascii="Arial" w:hAnsi="Arial" w:cs="Arial"/>
          <w:color w:val="000000" w:themeColor="text1"/>
          <w:sz w:val="24"/>
          <w:szCs w:val="24"/>
        </w:rPr>
        <w:t>sto será de US$0.000286 por galó</w:t>
      </w:r>
      <w:r w:rsidRPr="00197AF3">
        <w:rPr>
          <w:rFonts w:ascii="Arial" w:hAnsi="Arial" w:cs="Arial"/>
          <w:color w:val="000000" w:themeColor="text1"/>
          <w:sz w:val="24"/>
          <w:szCs w:val="24"/>
        </w:rPr>
        <w:t>n a partir de la fecha de entrada en vi</w:t>
      </w:r>
      <w:r>
        <w:rPr>
          <w:rFonts w:ascii="Arial" w:hAnsi="Arial" w:cs="Arial"/>
          <w:color w:val="000000" w:themeColor="text1"/>
          <w:sz w:val="24"/>
          <w:szCs w:val="24"/>
        </w:rPr>
        <w:t>gencia de la presente ley</w:t>
      </w:r>
      <w:r w:rsidRPr="00197AF3">
        <w:rPr>
          <w:rFonts w:ascii="Arial" w:hAnsi="Arial" w:cs="Arial"/>
          <w:color w:val="000000" w:themeColor="text1"/>
          <w:sz w:val="24"/>
          <w:szCs w:val="24"/>
        </w:rPr>
        <w:t>.</w:t>
      </w:r>
    </w:p>
    <w:p w:rsidR="00C31D20" w:rsidRDefault="00C31D20" w:rsidP="00C31D20">
      <w:pPr>
        <w:pStyle w:val="unico"/>
        <w:spacing w:before="180" w:beforeAutospacing="0" w:after="0" w:afterAutospacing="0"/>
        <w:contextualSpacing/>
        <w:jc w:val="both"/>
        <w:rPr>
          <w:rFonts w:ascii="Arial" w:hAnsi="Arial" w:cs="Arial"/>
          <w:color w:val="000000" w:themeColor="text1"/>
        </w:rPr>
      </w:pPr>
      <w:r w:rsidRPr="00197AF3">
        <w:rPr>
          <w:rFonts w:ascii="Arial" w:hAnsi="Arial" w:cs="Arial"/>
          <w:color w:val="000000" w:themeColor="text1"/>
        </w:rPr>
        <w:t xml:space="preserve">Este </w:t>
      </w:r>
      <w:r>
        <w:rPr>
          <w:rFonts w:ascii="Arial" w:hAnsi="Arial" w:cs="Arial"/>
          <w:color w:val="000000" w:themeColor="text1"/>
        </w:rPr>
        <w:t>valor será ajustado anualmente</w:t>
      </w:r>
      <w:r w:rsidRPr="00197AF3">
        <w:rPr>
          <w:rFonts w:ascii="Arial" w:hAnsi="Arial" w:cs="Arial"/>
          <w:color w:val="000000" w:themeColor="text1"/>
        </w:rPr>
        <w:t>, con base en los costos de inspección de calidad y manejo en el puerto que se encuentren vige</w:t>
      </w:r>
      <w:r>
        <w:rPr>
          <w:rFonts w:ascii="Arial" w:hAnsi="Arial" w:cs="Arial"/>
          <w:color w:val="000000" w:themeColor="text1"/>
        </w:rPr>
        <w:t>ntes para cada fecha de ajuste.</w:t>
      </w:r>
    </w:p>
    <w:p w:rsidR="00C31D20" w:rsidRPr="00197AF3" w:rsidRDefault="00C31D20" w:rsidP="00C31D20">
      <w:pPr>
        <w:pStyle w:val="unico"/>
        <w:spacing w:before="180" w:beforeAutospacing="0" w:after="0" w:afterAutospacing="0"/>
        <w:contextualSpacing/>
        <w:jc w:val="both"/>
        <w:rPr>
          <w:rFonts w:ascii="Arial" w:hAnsi="Arial" w:cs="Arial"/>
          <w:color w:val="000000" w:themeColor="text1"/>
        </w:rPr>
      </w:pPr>
    </w:p>
    <w:p w:rsidR="00C31D20" w:rsidRPr="00197AF3" w:rsidRDefault="00C31D20" w:rsidP="00C31D20">
      <w:pPr>
        <w:pStyle w:val="Ttulo2"/>
        <w:spacing w:before="0"/>
        <w:contextualSpacing/>
        <w:jc w:val="both"/>
        <w:rPr>
          <w:rFonts w:ascii="Arial" w:hAnsi="Arial" w:cs="Arial"/>
          <w:color w:val="000000" w:themeColor="text1"/>
          <w:sz w:val="24"/>
          <w:szCs w:val="24"/>
        </w:rPr>
      </w:pPr>
      <w:r w:rsidRPr="00197AF3">
        <w:rPr>
          <w:rFonts w:ascii="Arial" w:hAnsi="Arial" w:cs="Arial"/>
          <w:b/>
          <w:bCs/>
          <w:color w:val="000000" w:themeColor="text1"/>
          <w:sz w:val="24"/>
          <w:szCs w:val="24"/>
        </w:rPr>
        <w:t>Diferencial: </w:t>
      </w:r>
      <w:r w:rsidRPr="00197AF3">
        <w:rPr>
          <w:rFonts w:ascii="Arial" w:hAnsi="Arial" w:cs="Arial"/>
          <w:color w:val="000000" w:themeColor="text1"/>
          <w:sz w:val="24"/>
          <w:szCs w:val="24"/>
        </w:rPr>
        <w:t>Corresponde a la diferencia positiva o negativa entre el precio ponderado de paridad diario del ACPM, referenciado al mercado del Golfo de los Estados Unidos de América y el ingreso al productor vigente para cada día del mes.</w:t>
      </w:r>
    </w:p>
    <w:p w:rsidR="00C31D20" w:rsidRPr="00197AF3" w:rsidRDefault="00C31D20" w:rsidP="00C31D20">
      <w:pPr>
        <w:pStyle w:val="unico"/>
        <w:spacing w:before="180" w:beforeAutospacing="0" w:after="0" w:afterAutospacing="0"/>
        <w:contextualSpacing/>
        <w:jc w:val="both"/>
        <w:rPr>
          <w:rFonts w:ascii="Arial" w:hAnsi="Arial" w:cs="Arial"/>
          <w:color w:val="000000" w:themeColor="text1"/>
        </w:rPr>
      </w:pPr>
      <w:r w:rsidRPr="00197AF3">
        <w:rPr>
          <w:rFonts w:ascii="Arial" w:hAnsi="Arial" w:cs="Arial"/>
          <w:color w:val="000000" w:themeColor="text1"/>
        </w:rPr>
        <w:t>Cuando el diferencial anterior es positivo se denomina diferencial de compensación por galón, cuando es negativo se denomina diferencial de participación por galón.</w:t>
      </w:r>
    </w:p>
    <w:p w:rsidR="00C31D20" w:rsidRPr="00197AF3" w:rsidRDefault="00C31D20" w:rsidP="00C31D20">
      <w:pPr>
        <w:pStyle w:val="unico"/>
        <w:spacing w:before="180" w:beforeAutospacing="0" w:after="0" w:afterAutospacing="0"/>
        <w:contextualSpacing/>
        <w:jc w:val="both"/>
        <w:rPr>
          <w:rFonts w:ascii="Arial" w:hAnsi="Arial" w:cs="Arial"/>
          <w:color w:val="000000" w:themeColor="text1"/>
        </w:rPr>
      </w:pPr>
    </w:p>
    <w:p w:rsidR="00C31D20" w:rsidRPr="00197AF3" w:rsidRDefault="00C31D20" w:rsidP="00C31D20">
      <w:pPr>
        <w:pStyle w:val="Ttulo2"/>
        <w:spacing w:before="0"/>
        <w:contextualSpacing/>
        <w:jc w:val="both"/>
        <w:rPr>
          <w:rFonts w:ascii="Arial" w:hAnsi="Arial" w:cs="Arial"/>
          <w:color w:val="000000" w:themeColor="text1"/>
          <w:sz w:val="24"/>
          <w:szCs w:val="24"/>
        </w:rPr>
      </w:pPr>
      <w:r w:rsidRPr="00197AF3">
        <w:rPr>
          <w:rFonts w:ascii="Arial" w:hAnsi="Arial" w:cs="Arial"/>
          <w:b/>
          <w:bCs/>
          <w:color w:val="000000" w:themeColor="text1"/>
          <w:sz w:val="24"/>
          <w:szCs w:val="24"/>
        </w:rPr>
        <w:t>Pre</w:t>
      </w:r>
      <w:r>
        <w:rPr>
          <w:rFonts w:ascii="Arial" w:hAnsi="Arial" w:cs="Arial"/>
          <w:b/>
          <w:bCs/>
          <w:color w:val="000000" w:themeColor="text1"/>
          <w:sz w:val="24"/>
          <w:szCs w:val="24"/>
        </w:rPr>
        <w:t>cio Ponderado de Paridad en la fecha de Cálculo d</w:t>
      </w:r>
      <w:r w:rsidRPr="00197AF3">
        <w:rPr>
          <w:rFonts w:ascii="Arial" w:hAnsi="Arial" w:cs="Arial"/>
          <w:b/>
          <w:bCs/>
          <w:color w:val="000000" w:themeColor="text1"/>
          <w:sz w:val="24"/>
          <w:szCs w:val="24"/>
        </w:rPr>
        <w:t xml:space="preserve">el ACPM - </w:t>
      </w:r>
      <w:proofErr w:type="spellStart"/>
      <w:r w:rsidRPr="00197AF3">
        <w:rPr>
          <w:rFonts w:ascii="Arial" w:hAnsi="Arial" w:cs="Arial"/>
          <w:b/>
          <w:bCs/>
          <w:color w:val="000000" w:themeColor="text1"/>
          <w:sz w:val="24"/>
          <w:szCs w:val="24"/>
        </w:rPr>
        <w:t>PPP</w:t>
      </w:r>
      <w:r w:rsidRPr="00197AF3">
        <w:rPr>
          <w:rFonts w:ascii="Arial" w:hAnsi="Arial" w:cs="Arial"/>
          <w:b/>
          <w:bCs/>
          <w:color w:val="000000" w:themeColor="text1"/>
          <w:sz w:val="24"/>
          <w:szCs w:val="24"/>
          <w:vertAlign w:val="subscript"/>
        </w:rPr>
        <w:t>fc</w:t>
      </w:r>
      <w:proofErr w:type="spellEnd"/>
      <w:r w:rsidRPr="00197AF3">
        <w:rPr>
          <w:rFonts w:ascii="Arial" w:hAnsi="Arial" w:cs="Arial"/>
          <w:b/>
          <w:bCs/>
          <w:color w:val="000000" w:themeColor="text1"/>
          <w:sz w:val="24"/>
          <w:szCs w:val="24"/>
        </w:rPr>
        <w:t>:</w:t>
      </w:r>
      <w:r w:rsidRPr="00197AF3">
        <w:rPr>
          <w:rFonts w:ascii="Arial" w:hAnsi="Arial" w:cs="Arial"/>
          <w:color w:val="000000" w:themeColor="text1"/>
          <w:sz w:val="24"/>
          <w:szCs w:val="24"/>
        </w:rPr>
        <w:t xml:space="preserve"> Corresponde al último precio ponderado de paridad diario del ACPM - </w:t>
      </w:r>
      <w:proofErr w:type="spellStart"/>
      <w:r w:rsidRPr="00197AF3">
        <w:rPr>
          <w:rFonts w:ascii="Arial" w:hAnsi="Arial" w:cs="Arial"/>
          <w:color w:val="000000" w:themeColor="text1"/>
          <w:sz w:val="24"/>
          <w:szCs w:val="24"/>
        </w:rPr>
        <w:t>PPPt</w:t>
      </w:r>
      <w:proofErr w:type="spellEnd"/>
      <w:r w:rsidRPr="00197AF3">
        <w:rPr>
          <w:rFonts w:ascii="Arial" w:hAnsi="Arial" w:cs="Arial"/>
          <w:color w:val="000000" w:themeColor="text1"/>
          <w:sz w:val="24"/>
          <w:szCs w:val="24"/>
        </w:rPr>
        <w:t xml:space="preserve">, referenciado al mercado del Golfo de los Estados Unidos de América, disponible en la fecha de cálculo de acuerdo con el rezago en los datos reportados por la publicación </w:t>
      </w:r>
      <w:proofErr w:type="spellStart"/>
      <w:r w:rsidRPr="00197AF3">
        <w:rPr>
          <w:rFonts w:ascii="Arial" w:hAnsi="Arial" w:cs="Arial"/>
          <w:color w:val="000000" w:themeColor="text1"/>
          <w:sz w:val="24"/>
          <w:szCs w:val="24"/>
        </w:rPr>
        <w:t>PLATT’s</w:t>
      </w:r>
      <w:proofErr w:type="spellEnd"/>
      <w:r w:rsidRPr="00197AF3">
        <w:rPr>
          <w:rFonts w:ascii="Arial" w:hAnsi="Arial" w:cs="Arial"/>
          <w:color w:val="000000" w:themeColor="text1"/>
          <w:sz w:val="24"/>
          <w:szCs w:val="24"/>
        </w:rPr>
        <w:t xml:space="preserve"> de Standard &amp; </w:t>
      </w:r>
      <w:proofErr w:type="spellStart"/>
      <w:r w:rsidRPr="00197AF3">
        <w:rPr>
          <w:rFonts w:ascii="Arial" w:hAnsi="Arial" w:cs="Arial"/>
          <w:color w:val="000000" w:themeColor="text1"/>
          <w:sz w:val="24"/>
          <w:szCs w:val="24"/>
        </w:rPr>
        <w:t>Poor’s</w:t>
      </w:r>
      <w:proofErr w:type="spellEnd"/>
      <w:r w:rsidRPr="00197AF3">
        <w:rPr>
          <w:rFonts w:ascii="Arial" w:hAnsi="Arial" w:cs="Arial"/>
          <w:color w:val="000000" w:themeColor="text1"/>
          <w:sz w:val="24"/>
          <w:szCs w:val="24"/>
        </w:rPr>
        <w:t>.</w:t>
      </w:r>
    </w:p>
    <w:p w:rsidR="00C31D20" w:rsidRPr="00197AF3" w:rsidRDefault="00C31D20" w:rsidP="00C31D20">
      <w:pPr>
        <w:contextualSpacing/>
        <w:rPr>
          <w:rFonts w:ascii="Arial" w:hAnsi="Arial" w:cs="Arial"/>
        </w:rPr>
      </w:pPr>
    </w:p>
    <w:p w:rsidR="00C31D20" w:rsidRDefault="00C31D20" w:rsidP="00C31D20">
      <w:pPr>
        <w:pStyle w:val="Ttulo2"/>
        <w:spacing w:before="0"/>
        <w:contextualSpacing/>
        <w:jc w:val="both"/>
        <w:rPr>
          <w:rFonts w:ascii="Arial" w:hAnsi="Arial" w:cs="Arial"/>
          <w:color w:val="000000" w:themeColor="text1"/>
          <w:sz w:val="24"/>
          <w:szCs w:val="24"/>
        </w:rPr>
      </w:pPr>
      <w:r w:rsidRPr="00197AF3">
        <w:rPr>
          <w:rFonts w:ascii="Arial" w:hAnsi="Arial" w:cs="Arial"/>
          <w:b/>
          <w:bCs/>
          <w:color w:val="000000" w:themeColor="text1"/>
          <w:sz w:val="24"/>
          <w:szCs w:val="24"/>
        </w:rPr>
        <w:t>Tendencia Diaria B:</w:t>
      </w:r>
      <w:r w:rsidRPr="00197AF3">
        <w:rPr>
          <w:rFonts w:ascii="Arial" w:hAnsi="Arial" w:cs="Arial"/>
          <w:color w:val="000000" w:themeColor="text1"/>
          <w:sz w:val="24"/>
          <w:szCs w:val="24"/>
        </w:rPr>
        <w:t xml:space="preserve"> Corresponde al coeficiente de la pendiente que resulta de una línea de regresión por mínimos cuadrados ordinarios para los datos disponibles de los últimos sesenta (60) días calendario del logaritmo natural del precio ponderado de paridad diario del ACPM – </w:t>
      </w:r>
      <w:proofErr w:type="spellStart"/>
      <w:r w:rsidRPr="00197AF3">
        <w:rPr>
          <w:rFonts w:ascii="Arial" w:hAnsi="Arial" w:cs="Arial"/>
          <w:color w:val="000000" w:themeColor="text1"/>
          <w:sz w:val="24"/>
          <w:szCs w:val="24"/>
        </w:rPr>
        <w:t>PPPt</w:t>
      </w:r>
      <w:proofErr w:type="spellEnd"/>
      <w:r w:rsidRPr="00197AF3">
        <w:rPr>
          <w:rFonts w:ascii="Arial" w:hAnsi="Arial" w:cs="Arial"/>
          <w:color w:val="000000" w:themeColor="text1"/>
          <w:sz w:val="24"/>
          <w:szCs w:val="24"/>
        </w:rPr>
        <w:t>, referenciado al mercado del Golfo de los Estados Unidos de América, con respecto .al tiempo medido en días utilizando la siguiente ecuación:</w:t>
      </w:r>
    </w:p>
    <w:p w:rsidR="00C31D20" w:rsidRPr="002D432E" w:rsidRDefault="00C31D20" w:rsidP="00C31D20">
      <w:pPr>
        <w:contextualSpacing/>
      </w:pPr>
    </w:p>
    <w:p w:rsidR="00C31D20" w:rsidRPr="00197AF3" w:rsidRDefault="00C31D20" w:rsidP="00C31D20">
      <w:pPr>
        <w:pStyle w:val="unico"/>
        <w:spacing w:before="0" w:beforeAutospacing="0" w:after="0" w:afterAutospacing="0"/>
        <w:contextualSpacing/>
        <w:jc w:val="center"/>
        <w:rPr>
          <w:rFonts w:ascii="Arial" w:hAnsi="Arial" w:cs="Arial"/>
          <w:b/>
          <w:bCs/>
          <w:color w:val="000000" w:themeColor="text1"/>
        </w:rPr>
      </w:pPr>
      <w:proofErr w:type="spellStart"/>
      <w:r w:rsidRPr="00197AF3">
        <w:rPr>
          <w:rFonts w:ascii="Arial" w:hAnsi="Arial" w:cs="Arial"/>
          <w:b/>
          <w:bCs/>
          <w:color w:val="000000" w:themeColor="text1"/>
        </w:rPr>
        <w:t>Ln</w:t>
      </w:r>
      <w:proofErr w:type="spellEnd"/>
      <w:r w:rsidRPr="00197AF3">
        <w:rPr>
          <w:rFonts w:ascii="Arial" w:hAnsi="Arial" w:cs="Arial"/>
          <w:b/>
          <w:bCs/>
          <w:color w:val="000000" w:themeColor="text1"/>
        </w:rPr>
        <w:t xml:space="preserve"> </w:t>
      </w:r>
      <w:proofErr w:type="spellStart"/>
      <w:r w:rsidRPr="00197AF3">
        <w:rPr>
          <w:rFonts w:ascii="Arial" w:hAnsi="Arial" w:cs="Arial"/>
          <w:b/>
          <w:bCs/>
          <w:color w:val="000000" w:themeColor="text1"/>
        </w:rPr>
        <w:t>PPP</w:t>
      </w:r>
      <w:r w:rsidRPr="00197AF3">
        <w:rPr>
          <w:rFonts w:ascii="Arial" w:hAnsi="Arial" w:cs="Arial"/>
          <w:b/>
          <w:bCs/>
          <w:color w:val="000000" w:themeColor="text1"/>
          <w:vertAlign w:val="subscript"/>
        </w:rPr>
        <w:t>t</w:t>
      </w:r>
      <w:proofErr w:type="gramStart"/>
      <w:r w:rsidRPr="00197AF3">
        <w:rPr>
          <w:rFonts w:ascii="Arial" w:hAnsi="Arial" w:cs="Arial"/>
          <w:b/>
          <w:bCs/>
          <w:color w:val="000000" w:themeColor="text1"/>
          <w:vertAlign w:val="subscript"/>
        </w:rPr>
        <w:t>,x</w:t>
      </w:r>
      <w:proofErr w:type="spellEnd"/>
      <w:proofErr w:type="gramEnd"/>
      <w:r w:rsidRPr="00197AF3">
        <w:rPr>
          <w:rFonts w:ascii="Arial" w:hAnsi="Arial" w:cs="Arial"/>
          <w:b/>
          <w:bCs/>
          <w:color w:val="000000" w:themeColor="text1"/>
        </w:rPr>
        <w:t xml:space="preserve"> = a + </w:t>
      </w:r>
      <w:proofErr w:type="spellStart"/>
      <w:r w:rsidRPr="00197AF3">
        <w:rPr>
          <w:rFonts w:ascii="Arial" w:hAnsi="Arial" w:cs="Arial"/>
          <w:b/>
          <w:bCs/>
          <w:color w:val="000000" w:themeColor="text1"/>
        </w:rPr>
        <w:t>bt</w:t>
      </w:r>
      <w:proofErr w:type="spellEnd"/>
    </w:p>
    <w:p w:rsidR="00C31D20" w:rsidRPr="00197AF3" w:rsidRDefault="00C31D20" w:rsidP="00F90048">
      <w:pPr>
        <w:pStyle w:val="unico"/>
        <w:spacing w:before="180" w:beforeAutospacing="0" w:after="0" w:afterAutospacing="0"/>
        <w:contextualSpacing/>
        <w:jc w:val="both"/>
        <w:rPr>
          <w:rFonts w:ascii="Arial" w:hAnsi="Arial" w:cs="Arial"/>
          <w:b/>
          <w:bCs/>
          <w:color w:val="000000" w:themeColor="text1"/>
        </w:rPr>
      </w:pPr>
      <w:r w:rsidRPr="00197AF3">
        <w:rPr>
          <w:rFonts w:ascii="Arial" w:hAnsi="Arial" w:cs="Arial"/>
          <w:color w:val="000000" w:themeColor="text1"/>
        </w:rPr>
        <w:t>Dónde:</w:t>
      </w:r>
      <w:r w:rsidR="00F90048">
        <w:rPr>
          <w:rFonts w:ascii="Arial" w:hAnsi="Arial" w:cs="Arial"/>
          <w:color w:val="000000" w:themeColor="text1"/>
        </w:rPr>
        <w:t xml:space="preserve"> </w:t>
      </w:r>
      <w:r w:rsidRPr="00197AF3">
        <w:rPr>
          <w:rFonts w:ascii="Arial" w:hAnsi="Arial" w:cs="Arial"/>
          <w:b/>
          <w:bCs/>
          <w:color w:val="000000" w:themeColor="text1"/>
        </w:rPr>
        <w:t xml:space="preserve">LN </w:t>
      </w:r>
      <w:proofErr w:type="spellStart"/>
      <w:r w:rsidRPr="00197AF3">
        <w:rPr>
          <w:rFonts w:ascii="Arial" w:hAnsi="Arial" w:cs="Arial"/>
          <w:b/>
          <w:bCs/>
          <w:color w:val="000000" w:themeColor="text1"/>
        </w:rPr>
        <w:t>PPP</w:t>
      </w:r>
      <w:r w:rsidRPr="00197AF3">
        <w:rPr>
          <w:rFonts w:ascii="Arial" w:hAnsi="Arial" w:cs="Arial"/>
          <w:b/>
          <w:bCs/>
          <w:color w:val="000000" w:themeColor="text1"/>
          <w:vertAlign w:val="subscript"/>
        </w:rPr>
        <w:t>tx</w:t>
      </w:r>
      <w:proofErr w:type="spellEnd"/>
      <w:r w:rsidRPr="00197AF3">
        <w:rPr>
          <w:rFonts w:ascii="Arial" w:hAnsi="Arial" w:cs="Arial"/>
          <w:b/>
          <w:bCs/>
          <w:color w:val="000000" w:themeColor="text1"/>
        </w:rPr>
        <w:t>: </w:t>
      </w:r>
      <w:r w:rsidRPr="00197AF3">
        <w:rPr>
          <w:rFonts w:ascii="Arial" w:hAnsi="Arial" w:cs="Arial"/>
          <w:color w:val="000000" w:themeColor="text1"/>
        </w:rPr>
        <w:t>Corresponde al logaritmo natural del precio ponderado de paridad diario del ACPM - referenciado al mercado del Golfo de los Estados Unidos de América, expresado en pesos por galón.</w:t>
      </w:r>
    </w:p>
    <w:p w:rsidR="00C31D20" w:rsidRPr="00197AF3" w:rsidRDefault="00C31D20" w:rsidP="00C31D20">
      <w:pPr>
        <w:contextualSpacing/>
        <w:rPr>
          <w:rFonts w:ascii="Arial" w:hAnsi="Arial" w:cs="Arial"/>
        </w:rPr>
      </w:pPr>
    </w:p>
    <w:p w:rsidR="00C31D20" w:rsidRPr="00197AF3" w:rsidRDefault="00C31D20" w:rsidP="00C31D20">
      <w:pPr>
        <w:pStyle w:val="Ttulo2"/>
        <w:spacing w:before="0"/>
        <w:contextualSpacing/>
        <w:jc w:val="both"/>
        <w:rPr>
          <w:rFonts w:ascii="Arial" w:hAnsi="Arial" w:cs="Arial"/>
        </w:rPr>
      </w:pPr>
      <w:proofErr w:type="gramStart"/>
      <w:r>
        <w:rPr>
          <w:rFonts w:ascii="Arial" w:hAnsi="Arial" w:cs="Arial"/>
          <w:b/>
          <w:bCs/>
          <w:color w:val="000000" w:themeColor="text1"/>
          <w:sz w:val="24"/>
          <w:szCs w:val="24"/>
        </w:rPr>
        <w:lastRenderedPageBreak/>
        <w:t>a</w:t>
      </w:r>
      <w:proofErr w:type="gramEnd"/>
      <w:r w:rsidRPr="00197AF3">
        <w:rPr>
          <w:rFonts w:ascii="Arial" w:hAnsi="Arial" w:cs="Arial"/>
          <w:b/>
          <w:bCs/>
          <w:color w:val="000000" w:themeColor="text1"/>
          <w:sz w:val="24"/>
          <w:szCs w:val="24"/>
        </w:rPr>
        <w:t>:</w:t>
      </w:r>
      <w:r w:rsidRPr="00197AF3">
        <w:rPr>
          <w:rFonts w:ascii="Arial" w:hAnsi="Arial" w:cs="Arial"/>
          <w:color w:val="000000" w:themeColor="text1"/>
          <w:sz w:val="24"/>
          <w:szCs w:val="24"/>
        </w:rPr>
        <w:t> Corresponde al valor del intercepto de la señalada ecuación.</w:t>
      </w:r>
    </w:p>
    <w:p w:rsidR="00C31D20" w:rsidRPr="002D432E" w:rsidRDefault="00C31D20" w:rsidP="00C31D20">
      <w:pPr>
        <w:pStyle w:val="Ttulo2"/>
        <w:spacing w:before="0"/>
        <w:contextualSpacing/>
        <w:jc w:val="both"/>
        <w:rPr>
          <w:rFonts w:ascii="Arial" w:hAnsi="Arial" w:cs="Arial"/>
          <w:color w:val="000000" w:themeColor="text1"/>
          <w:sz w:val="24"/>
          <w:szCs w:val="24"/>
        </w:rPr>
      </w:pPr>
      <w:proofErr w:type="gramStart"/>
      <w:r>
        <w:rPr>
          <w:rFonts w:ascii="Arial" w:hAnsi="Arial" w:cs="Arial"/>
          <w:b/>
          <w:bCs/>
          <w:color w:val="000000" w:themeColor="text1"/>
          <w:sz w:val="24"/>
          <w:szCs w:val="24"/>
        </w:rPr>
        <w:t>b</w:t>
      </w:r>
      <w:proofErr w:type="gramEnd"/>
      <w:r w:rsidRPr="00197AF3">
        <w:rPr>
          <w:rFonts w:ascii="Arial" w:hAnsi="Arial" w:cs="Arial"/>
          <w:b/>
          <w:bCs/>
          <w:color w:val="000000" w:themeColor="text1"/>
          <w:sz w:val="24"/>
          <w:szCs w:val="24"/>
        </w:rPr>
        <w:t>:</w:t>
      </w:r>
      <w:r w:rsidRPr="00197AF3">
        <w:rPr>
          <w:rFonts w:ascii="Arial" w:hAnsi="Arial" w:cs="Arial"/>
          <w:color w:val="000000" w:themeColor="text1"/>
          <w:sz w:val="24"/>
          <w:szCs w:val="24"/>
        </w:rPr>
        <w:t> Corresponde al coeficiente de pendiente o tendencia diaria. Indica cuál es, en promedio, el camb</w:t>
      </w:r>
      <w:r>
        <w:rPr>
          <w:rFonts w:ascii="Arial" w:hAnsi="Arial" w:cs="Arial"/>
          <w:color w:val="000000" w:themeColor="text1"/>
          <w:sz w:val="24"/>
          <w:szCs w:val="24"/>
        </w:rPr>
        <w:t xml:space="preserve">io porcentual diario en </w:t>
      </w:r>
      <w:proofErr w:type="spellStart"/>
      <w:r>
        <w:rPr>
          <w:rFonts w:ascii="Arial" w:hAnsi="Arial" w:cs="Arial"/>
          <w:color w:val="000000" w:themeColor="text1"/>
          <w:sz w:val="24"/>
          <w:szCs w:val="24"/>
        </w:rPr>
        <w:t>PPPt</w:t>
      </w:r>
      <w:proofErr w:type="gramStart"/>
      <w:r>
        <w:rPr>
          <w:rFonts w:ascii="Arial" w:hAnsi="Arial" w:cs="Arial"/>
          <w:color w:val="000000" w:themeColor="text1"/>
          <w:sz w:val="24"/>
          <w:szCs w:val="24"/>
        </w:rPr>
        <w:t>,x</w:t>
      </w:r>
      <w:proofErr w:type="spellEnd"/>
      <w:proofErr w:type="gramEnd"/>
      <w:r>
        <w:rPr>
          <w:rFonts w:ascii="Arial" w:hAnsi="Arial" w:cs="Arial"/>
          <w:color w:val="000000" w:themeColor="text1"/>
          <w:sz w:val="24"/>
          <w:szCs w:val="24"/>
        </w:rPr>
        <w:t>.</w:t>
      </w:r>
    </w:p>
    <w:p w:rsidR="00C31D20" w:rsidRPr="00197AF3" w:rsidRDefault="00C31D20" w:rsidP="00C31D20">
      <w:pPr>
        <w:pStyle w:val="Ttulo2"/>
        <w:spacing w:before="0"/>
        <w:contextualSpacing/>
        <w:jc w:val="both"/>
        <w:rPr>
          <w:rFonts w:ascii="Arial" w:hAnsi="Arial" w:cs="Arial"/>
          <w:b/>
          <w:bCs/>
          <w:color w:val="000000" w:themeColor="text1"/>
          <w:sz w:val="24"/>
          <w:szCs w:val="24"/>
        </w:rPr>
      </w:pPr>
      <w:proofErr w:type="gramStart"/>
      <w:r w:rsidRPr="00197AF3">
        <w:rPr>
          <w:rFonts w:ascii="Arial" w:hAnsi="Arial" w:cs="Arial"/>
          <w:b/>
          <w:bCs/>
          <w:color w:val="000000" w:themeColor="text1"/>
          <w:sz w:val="24"/>
          <w:szCs w:val="24"/>
        </w:rPr>
        <w:t>t</w:t>
      </w:r>
      <w:proofErr w:type="gramEnd"/>
      <w:r w:rsidRPr="00197AF3">
        <w:rPr>
          <w:rFonts w:ascii="Arial" w:hAnsi="Arial" w:cs="Arial"/>
          <w:b/>
          <w:bCs/>
          <w:color w:val="000000" w:themeColor="text1"/>
          <w:sz w:val="24"/>
          <w:szCs w:val="24"/>
        </w:rPr>
        <w:t>:</w:t>
      </w:r>
      <w:r w:rsidRPr="00197AF3">
        <w:rPr>
          <w:rFonts w:ascii="Arial" w:hAnsi="Arial" w:cs="Arial"/>
          <w:color w:val="000000" w:themeColor="text1"/>
          <w:sz w:val="24"/>
          <w:szCs w:val="24"/>
        </w:rPr>
        <w:t> Corresponde al tiempo medido en días.</w:t>
      </w:r>
    </w:p>
    <w:p w:rsidR="00C31D20" w:rsidRPr="00197AF3" w:rsidRDefault="00C31D20" w:rsidP="00C31D20">
      <w:pPr>
        <w:contextualSpacing/>
        <w:rPr>
          <w:rFonts w:ascii="Arial" w:hAnsi="Arial" w:cs="Arial"/>
        </w:rPr>
      </w:pPr>
    </w:p>
    <w:p w:rsidR="00C31D20" w:rsidRPr="00197AF3" w:rsidRDefault="00C31D20" w:rsidP="00FB1636">
      <w:pPr>
        <w:pStyle w:val="Ttulo2"/>
        <w:spacing w:before="0"/>
        <w:contextualSpacing/>
        <w:jc w:val="both"/>
        <w:rPr>
          <w:rFonts w:ascii="Arial" w:hAnsi="Arial" w:cs="Arial"/>
        </w:rPr>
      </w:pPr>
      <w:r w:rsidRPr="00197AF3">
        <w:rPr>
          <w:rFonts w:ascii="Arial" w:hAnsi="Arial" w:cs="Arial"/>
          <w:b/>
          <w:bCs/>
          <w:color w:val="000000" w:themeColor="text1"/>
          <w:sz w:val="24"/>
          <w:szCs w:val="24"/>
        </w:rPr>
        <w:t xml:space="preserve">Tendencia </w:t>
      </w:r>
      <w:proofErr w:type="spellStart"/>
      <w:r w:rsidRPr="00197AF3">
        <w:rPr>
          <w:rFonts w:ascii="Arial" w:hAnsi="Arial" w:cs="Arial"/>
          <w:b/>
          <w:bCs/>
          <w:color w:val="000000" w:themeColor="text1"/>
          <w:sz w:val="24"/>
          <w:szCs w:val="24"/>
        </w:rPr>
        <w:t>Mensualizada</w:t>
      </w:r>
      <w:proofErr w:type="spellEnd"/>
      <w:r w:rsidRPr="00197AF3">
        <w:rPr>
          <w:rFonts w:ascii="Arial" w:hAnsi="Arial" w:cs="Arial"/>
          <w:b/>
          <w:bCs/>
          <w:color w:val="000000" w:themeColor="text1"/>
          <w:sz w:val="24"/>
          <w:szCs w:val="24"/>
        </w:rPr>
        <w:t xml:space="preserve"> M:</w:t>
      </w:r>
      <w:r w:rsidRPr="00197AF3">
        <w:rPr>
          <w:rFonts w:ascii="Arial" w:hAnsi="Arial" w:cs="Arial"/>
          <w:color w:val="000000" w:themeColor="text1"/>
          <w:sz w:val="24"/>
          <w:szCs w:val="24"/>
        </w:rPr>
        <w:t xml:space="preserve"> Corresponde al valor </w:t>
      </w:r>
      <w:proofErr w:type="spellStart"/>
      <w:r w:rsidRPr="00197AF3">
        <w:rPr>
          <w:rFonts w:ascii="Arial" w:hAnsi="Arial" w:cs="Arial"/>
          <w:color w:val="000000" w:themeColor="text1"/>
          <w:sz w:val="24"/>
          <w:szCs w:val="24"/>
        </w:rPr>
        <w:t>mensualizado</w:t>
      </w:r>
      <w:proofErr w:type="spellEnd"/>
      <w:r w:rsidRPr="00197AF3">
        <w:rPr>
          <w:rFonts w:ascii="Arial" w:hAnsi="Arial" w:cs="Arial"/>
          <w:color w:val="000000" w:themeColor="text1"/>
          <w:sz w:val="24"/>
          <w:szCs w:val="24"/>
        </w:rPr>
        <w:t xml:space="preserve"> del coeficiente de pendiente b y se calculará de la siguiente manera:</w:t>
      </w:r>
    </w:p>
    <w:p w:rsidR="00C31D20" w:rsidRPr="00197AF3" w:rsidRDefault="00C31D20" w:rsidP="00C31D20">
      <w:pPr>
        <w:pStyle w:val="unico"/>
        <w:spacing w:before="0" w:beforeAutospacing="0" w:after="0" w:afterAutospacing="0"/>
        <w:contextualSpacing/>
        <w:jc w:val="center"/>
        <w:rPr>
          <w:rFonts w:ascii="Arial" w:hAnsi="Arial" w:cs="Arial"/>
          <w:b/>
          <w:bCs/>
          <w:color w:val="000000" w:themeColor="text1"/>
        </w:rPr>
      </w:pPr>
      <w:r w:rsidRPr="00197AF3">
        <w:rPr>
          <w:rFonts w:ascii="Arial" w:hAnsi="Arial" w:cs="Arial"/>
          <w:b/>
          <w:bCs/>
          <w:color w:val="000000" w:themeColor="text1"/>
        </w:rPr>
        <w:t>m = (1+b)</w:t>
      </w:r>
      <w:r w:rsidRPr="00197AF3">
        <w:rPr>
          <w:rFonts w:ascii="Arial" w:hAnsi="Arial" w:cs="Arial"/>
          <w:b/>
          <w:bCs/>
          <w:color w:val="000000" w:themeColor="text1"/>
          <w:vertAlign w:val="superscript"/>
        </w:rPr>
        <w:t>n</w:t>
      </w:r>
      <w:r w:rsidRPr="00197AF3">
        <w:rPr>
          <w:rFonts w:ascii="Arial" w:hAnsi="Arial" w:cs="Arial"/>
          <w:b/>
          <w:bCs/>
          <w:color w:val="000000" w:themeColor="text1"/>
        </w:rPr>
        <w:t> -1</w:t>
      </w:r>
    </w:p>
    <w:p w:rsidR="00C31D20" w:rsidRPr="00197AF3" w:rsidRDefault="00F90048" w:rsidP="00C31D20">
      <w:pPr>
        <w:pStyle w:val="unico"/>
        <w:spacing w:before="180" w:beforeAutospacing="0" w:after="0" w:afterAutospacing="0"/>
        <w:contextualSpacing/>
        <w:jc w:val="both"/>
        <w:rPr>
          <w:rFonts w:ascii="Arial" w:hAnsi="Arial" w:cs="Arial"/>
          <w:color w:val="000000" w:themeColor="text1"/>
        </w:rPr>
      </w:pPr>
      <w:r w:rsidRPr="00197AF3">
        <w:rPr>
          <w:rFonts w:ascii="Arial" w:hAnsi="Arial" w:cs="Arial"/>
          <w:color w:val="000000" w:themeColor="text1"/>
        </w:rPr>
        <w:t>Dónde</w:t>
      </w:r>
      <w:r w:rsidR="00C31D20" w:rsidRPr="00197AF3">
        <w:rPr>
          <w:rFonts w:ascii="Arial" w:hAnsi="Arial" w:cs="Arial"/>
          <w:color w:val="000000" w:themeColor="text1"/>
        </w:rPr>
        <w:t>:</w:t>
      </w:r>
    </w:p>
    <w:p w:rsidR="00C31D20" w:rsidRPr="00197AF3" w:rsidRDefault="00C31D20" w:rsidP="00C31D20">
      <w:pPr>
        <w:pStyle w:val="Ttulo2"/>
        <w:spacing w:before="0"/>
        <w:contextualSpacing/>
        <w:jc w:val="both"/>
        <w:rPr>
          <w:rFonts w:ascii="Arial" w:hAnsi="Arial" w:cs="Arial"/>
          <w:color w:val="000000" w:themeColor="text1"/>
          <w:sz w:val="24"/>
          <w:szCs w:val="24"/>
        </w:rPr>
      </w:pPr>
      <w:proofErr w:type="gramStart"/>
      <w:r w:rsidRPr="00197AF3">
        <w:rPr>
          <w:rFonts w:ascii="Arial" w:hAnsi="Arial" w:cs="Arial"/>
          <w:b/>
          <w:bCs/>
          <w:color w:val="000000" w:themeColor="text1"/>
          <w:sz w:val="24"/>
          <w:szCs w:val="24"/>
        </w:rPr>
        <w:t>n</w:t>
      </w:r>
      <w:proofErr w:type="gramEnd"/>
      <w:r w:rsidRPr="00197AF3">
        <w:rPr>
          <w:rFonts w:ascii="Arial" w:hAnsi="Arial" w:cs="Arial"/>
          <w:b/>
          <w:bCs/>
          <w:color w:val="000000" w:themeColor="text1"/>
          <w:sz w:val="24"/>
          <w:szCs w:val="24"/>
        </w:rPr>
        <w:t>:</w:t>
      </w:r>
      <w:r w:rsidRPr="00197AF3">
        <w:rPr>
          <w:rFonts w:ascii="Arial" w:hAnsi="Arial" w:cs="Arial"/>
          <w:color w:val="000000" w:themeColor="text1"/>
          <w:sz w:val="24"/>
          <w:szCs w:val="24"/>
        </w:rPr>
        <w:t> Corresponde al número de días hábiles con datos disponibles del mes en el cual se está realizando el cálculo.</w:t>
      </w:r>
    </w:p>
    <w:p w:rsidR="00C31D20" w:rsidRPr="00197AF3" w:rsidRDefault="00C31D20" w:rsidP="00C31D20">
      <w:pPr>
        <w:pStyle w:val="unico"/>
        <w:spacing w:before="180" w:beforeAutospacing="0" w:after="0" w:afterAutospacing="0"/>
        <w:contextualSpacing/>
        <w:jc w:val="both"/>
        <w:rPr>
          <w:rFonts w:ascii="Arial" w:hAnsi="Arial" w:cs="Arial"/>
          <w:color w:val="000000" w:themeColor="text1"/>
        </w:rPr>
      </w:pPr>
      <w:r w:rsidRPr="00197AF3">
        <w:rPr>
          <w:rFonts w:ascii="Arial" w:hAnsi="Arial" w:cs="Arial"/>
          <w:color w:val="000000" w:themeColor="text1"/>
        </w:rPr>
        <w:t xml:space="preserve">Para efectos del cálculo del ingreso al productor para un determinado mes, la siguiente tabla señala los escenarios aplicables, según el valor del diferencial de compensación o participación en la fecha de cálculo, según corresponda, y de la tendencia </w:t>
      </w:r>
      <w:proofErr w:type="spellStart"/>
      <w:r w:rsidRPr="00197AF3">
        <w:rPr>
          <w:rFonts w:ascii="Arial" w:hAnsi="Arial" w:cs="Arial"/>
          <w:color w:val="000000" w:themeColor="text1"/>
        </w:rPr>
        <w:t>mensualizada</w:t>
      </w:r>
      <w:proofErr w:type="spellEnd"/>
      <w:r w:rsidRPr="00197AF3">
        <w:rPr>
          <w:rFonts w:ascii="Arial" w:hAnsi="Arial" w:cs="Arial"/>
          <w:color w:val="000000" w:themeColor="text1"/>
        </w:rPr>
        <w:t xml:space="preserve"> m, calculados de acuerdo con las definiciones cont</w:t>
      </w:r>
      <w:r>
        <w:rPr>
          <w:rFonts w:ascii="Arial" w:hAnsi="Arial" w:cs="Arial"/>
          <w:color w:val="000000" w:themeColor="text1"/>
        </w:rPr>
        <w:t>enidas en la presente ley</w:t>
      </w:r>
      <w:r w:rsidRPr="00197AF3">
        <w:rPr>
          <w:rFonts w:ascii="Arial" w:hAnsi="Arial" w:cs="Arial"/>
          <w:color w:val="000000" w:themeColor="text1"/>
        </w:rPr>
        <w:t>:</w:t>
      </w:r>
    </w:p>
    <w:p w:rsidR="00C31D20" w:rsidRPr="00197AF3" w:rsidRDefault="00C31D20" w:rsidP="00C31D20">
      <w:pPr>
        <w:shd w:val="clear" w:color="auto" w:fill="FFFFFF"/>
        <w:contextualSpacing/>
        <w:jc w:val="both"/>
        <w:rPr>
          <w:rFonts w:ascii="Arial" w:hAnsi="Arial" w:cs="Arial"/>
          <w:color w:val="000000" w:themeColor="text1"/>
        </w:rPr>
      </w:pPr>
    </w:p>
    <w:tbl>
      <w:tblPr>
        <w:tblW w:w="4000" w:type="pct"/>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56"/>
        <w:gridCol w:w="2300"/>
        <w:gridCol w:w="2386"/>
      </w:tblGrid>
      <w:tr w:rsidR="00C31D20" w:rsidRPr="006261F6" w:rsidTr="000B3487">
        <w:trPr>
          <w:tblCellSpacing w:w="15" w:type="dxa"/>
          <w:jc w:val="center"/>
        </w:trPr>
        <w:tc>
          <w:tcPr>
            <w:tcW w:w="1700" w:type="pct"/>
            <w:tcBorders>
              <w:top w:val="outset" w:sz="6" w:space="0" w:color="auto"/>
              <w:left w:val="outset" w:sz="6" w:space="0" w:color="auto"/>
              <w:bottom w:val="outset" w:sz="6" w:space="0" w:color="auto"/>
              <w:right w:val="outset" w:sz="6" w:space="0" w:color="auto"/>
            </w:tcBorders>
            <w:vAlign w:val="center"/>
            <w:hideMark/>
          </w:tcPr>
          <w:p w:rsidR="00C31D20" w:rsidRPr="006261F6" w:rsidRDefault="00C31D20" w:rsidP="00C31D20">
            <w:pPr>
              <w:contextualSpacing/>
              <w:jc w:val="both"/>
              <w:rPr>
                <w:rFonts w:ascii="Arial" w:hAnsi="Arial" w:cs="Arial"/>
                <w:color w:val="000000" w:themeColor="text1"/>
                <w:sz w:val="16"/>
                <w:szCs w:val="16"/>
              </w:rPr>
            </w:pPr>
            <w:r w:rsidRPr="006261F6">
              <w:rPr>
                <w:rFonts w:ascii="Arial" w:hAnsi="Arial" w:cs="Arial"/>
                <w:color w:val="000000" w:themeColor="text1"/>
                <w:sz w:val="16"/>
                <w:szCs w:val="16"/>
              </w:rPr>
              <w:t> </w:t>
            </w:r>
          </w:p>
        </w:tc>
        <w:tc>
          <w:tcPr>
            <w:tcW w:w="1600" w:type="pct"/>
            <w:tcBorders>
              <w:top w:val="outset" w:sz="6" w:space="0" w:color="auto"/>
              <w:left w:val="outset" w:sz="6" w:space="0" w:color="auto"/>
              <w:bottom w:val="outset" w:sz="6" w:space="0" w:color="auto"/>
              <w:right w:val="outset" w:sz="6" w:space="0" w:color="auto"/>
            </w:tcBorders>
            <w:vAlign w:val="center"/>
            <w:hideMark/>
          </w:tcPr>
          <w:p w:rsidR="00C31D20" w:rsidRPr="006261F6" w:rsidRDefault="00C31D20" w:rsidP="00C31D20">
            <w:pPr>
              <w:contextualSpacing/>
              <w:jc w:val="center"/>
              <w:rPr>
                <w:rFonts w:ascii="Arial" w:hAnsi="Arial" w:cs="Arial"/>
                <w:color w:val="000000" w:themeColor="text1"/>
                <w:sz w:val="16"/>
                <w:szCs w:val="16"/>
              </w:rPr>
            </w:pPr>
            <w:r w:rsidRPr="006261F6">
              <w:rPr>
                <w:rFonts w:ascii="Arial" w:hAnsi="Arial" w:cs="Arial"/>
                <w:b/>
                <w:bCs/>
                <w:color w:val="000000" w:themeColor="text1"/>
                <w:sz w:val="16"/>
                <w:szCs w:val="16"/>
              </w:rPr>
              <w:t>Diferencial positivo en la fecha de cálculo</w:t>
            </w:r>
          </w:p>
        </w:tc>
        <w:tc>
          <w:tcPr>
            <w:tcW w:w="1650" w:type="pct"/>
            <w:tcBorders>
              <w:top w:val="outset" w:sz="6" w:space="0" w:color="auto"/>
              <w:left w:val="outset" w:sz="6" w:space="0" w:color="auto"/>
              <w:bottom w:val="outset" w:sz="6" w:space="0" w:color="auto"/>
              <w:right w:val="outset" w:sz="6" w:space="0" w:color="auto"/>
            </w:tcBorders>
            <w:vAlign w:val="center"/>
            <w:hideMark/>
          </w:tcPr>
          <w:p w:rsidR="00C31D20" w:rsidRPr="006261F6" w:rsidRDefault="00C31D20" w:rsidP="00C31D20">
            <w:pPr>
              <w:contextualSpacing/>
              <w:jc w:val="center"/>
              <w:rPr>
                <w:rFonts w:ascii="Arial" w:hAnsi="Arial" w:cs="Arial"/>
                <w:color w:val="000000" w:themeColor="text1"/>
                <w:sz w:val="16"/>
                <w:szCs w:val="16"/>
              </w:rPr>
            </w:pPr>
            <w:r w:rsidRPr="006261F6">
              <w:rPr>
                <w:rFonts w:ascii="Arial" w:hAnsi="Arial" w:cs="Arial"/>
                <w:b/>
                <w:bCs/>
                <w:color w:val="000000" w:themeColor="text1"/>
                <w:sz w:val="16"/>
                <w:szCs w:val="16"/>
              </w:rPr>
              <w:t>Diferencial negativo en la fecha de cálculo</w:t>
            </w:r>
          </w:p>
        </w:tc>
      </w:tr>
      <w:tr w:rsidR="00C31D20" w:rsidRPr="006261F6" w:rsidTr="000B3487">
        <w:trPr>
          <w:tblCellSpacing w:w="15" w:type="dxa"/>
          <w:jc w:val="center"/>
        </w:trPr>
        <w:tc>
          <w:tcPr>
            <w:tcW w:w="1700" w:type="pct"/>
            <w:tcBorders>
              <w:top w:val="outset" w:sz="6" w:space="0" w:color="auto"/>
              <w:left w:val="outset" w:sz="6" w:space="0" w:color="auto"/>
              <w:bottom w:val="outset" w:sz="6" w:space="0" w:color="auto"/>
              <w:right w:val="outset" w:sz="6" w:space="0" w:color="auto"/>
            </w:tcBorders>
            <w:vAlign w:val="center"/>
            <w:hideMark/>
          </w:tcPr>
          <w:p w:rsidR="00C31D20" w:rsidRPr="006261F6" w:rsidRDefault="00C31D20" w:rsidP="00C31D20">
            <w:pPr>
              <w:contextualSpacing/>
              <w:jc w:val="center"/>
              <w:rPr>
                <w:rFonts w:ascii="Arial" w:hAnsi="Arial" w:cs="Arial"/>
                <w:color w:val="000000" w:themeColor="text1"/>
                <w:sz w:val="16"/>
                <w:szCs w:val="16"/>
              </w:rPr>
            </w:pPr>
            <w:r w:rsidRPr="006261F6">
              <w:rPr>
                <w:rFonts w:ascii="Arial" w:hAnsi="Arial" w:cs="Arial"/>
                <w:color w:val="000000" w:themeColor="text1"/>
                <w:sz w:val="16"/>
                <w:szCs w:val="16"/>
              </w:rPr>
              <w:t>Tendencia creciente (m≥0)</w:t>
            </w:r>
          </w:p>
        </w:tc>
        <w:tc>
          <w:tcPr>
            <w:tcW w:w="1600" w:type="pct"/>
            <w:tcBorders>
              <w:top w:val="outset" w:sz="6" w:space="0" w:color="auto"/>
              <w:left w:val="outset" w:sz="6" w:space="0" w:color="auto"/>
              <w:bottom w:val="outset" w:sz="6" w:space="0" w:color="auto"/>
              <w:right w:val="outset" w:sz="6" w:space="0" w:color="auto"/>
            </w:tcBorders>
            <w:vAlign w:val="center"/>
            <w:hideMark/>
          </w:tcPr>
          <w:p w:rsidR="00C31D20" w:rsidRPr="006261F6" w:rsidRDefault="00C31D20" w:rsidP="00C31D20">
            <w:pPr>
              <w:contextualSpacing/>
              <w:jc w:val="center"/>
              <w:rPr>
                <w:rFonts w:ascii="Arial" w:hAnsi="Arial" w:cs="Arial"/>
                <w:color w:val="000000" w:themeColor="text1"/>
                <w:sz w:val="16"/>
                <w:szCs w:val="16"/>
              </w:rPr>
            </w:pPr>
            <w:r w:rsidRPr="006261F6">
              <w:rPr>
                <w:rFonts w:ascii="Arial" w:hAnsi="Arial" w:cs="Arial"/>
                <w:color w:val="000000" w:themeColor="text1"/>
                <w:sz w:val="16"/>
                <w:szCs w:val="16"/>
              </w:rPr>
              <w:t>c=min [m, 2.8%]</w:t>
            </w:r>
          </w:p>
        </w:tc>
        <w:tc>
          <w:tcPr>
            <w:tcW w:w="1650" w:type="pct"/>
            <w:tcBorders>
              <w:top w:val="outset" w:sz="6" w:space="0" w:color="auto"/>
              <w:left w:val="outset" w:sz="6" w:space="0" w:color="auto"/>
              <w:bottom w:val="outset" w:sz="6" w:space="0" w:color="auto"/>
              <w:right w:val="outset" w:sz="6" w:space="0" w:color="auto"/>
            </w:tcBorders>
            <w:vAlign w:val="center"/>
            <w:hideMark/>
          </w:tcPr>
          <w:p w:rsidR="00C31D20" w:rsidRPr="006261F6" w:rsidRDefault="00C31D20" w:rsidP="00C31D20">
            <w:pPr>
              <w:contextualSpacing/>
              <w:jc w:val="center"/>
              <w:rPr>
                <w:rFonts w:ascii="Arial" w:hAnsi="Arial" w:cs="Arial"/>
                <w:color w:val="000000" w:themeColor="text1"/>
                <w:sz w:val="16"/>
                <w:szCs w:val="16"/>
              </w:rPr>
            </w:pPr>
            <w:r w:rsidRPr="006261F6">
              <w:rPr>
                <w:rFonts w:ascii="Arial" w:hAnsi="Arial" w:cs="Arial"/>
                <w:color w:val="000000" w:themeColor="text1"/>
                <w:sz w:val="16"/>
                <w:szCs w:val="16"/>
              </w:rPr>
              <w:t>c=0</w:t>
            </w:r>
          </w:p>
        </w:tc>
      </w:tr>
      <w:tr w:rsidR="00C31D20" w:rsidRPr="006261F6" w:rsidTr="000B3487">
        <w:trPr>
          <w:tblCellSpacing w:w="15" w:type="dxa"/>
          <w:jc w:val="center"/>
        </w:trPr>
        <w:tc>
          <w:tcPr>
            <w:tcW w:w="1700" w:type="pct"/>
            <w:tcBorders>
              <w:top w:val="outset" w:sz="6" w:space="0" w:color="auto"/>
              <w:left w:val="outset" w:sz="6" w:space="0" w:color="auto"/>
              <w:bottom w:val="outset" w:sz="6" w:space="0" w:color="auto"/>
              <w:right w:val="outset" w:sz="6" w:space="0" w:color="auto"/>
            </w:tcBorders>
            <w:vAlign w:val="center"/>
            <w:hideMark/>
          </w:tcPr>
          <w:p w:rsidR="00C31D20" w:rsidRPr="006261F6" w:rsidRDefault="00C31D20" w:rsidP="00C31D20">
            <w:pPr>
              <w:contextualSpacing/>
              <w:jc w:val="center"/>
              <w:rPr>
                <w:rFonts w:ascii="Arial" w:hAnsi="Arial" w:cs="Arial"/>
                <w:color w:val="000000" w:themeColor="text1"/>
                <w:sz w:val="16"/>
                <w:szCs w:val="16"/>
              </w:rPr>
            </w:pPr>
            <w:r w:rsidRPr="006261F6">
              <w:rPr>
                <w:rFonts w:ascii="Arial" w:hAnsi="Arial" w:cs="Arial"/>
                <w:color w:val="000000" w:themeColor="text1"/>
                <w:sz w:val="16"/>
                <w:szCs w:val="16"/>
              </w:rPr>
              <w:t>Tendencia decreciente (m&lt;0)</w:t>
            </w:r>
          </w:p>
        </w:tc>
        <w:tc>
          <w:tcPr>
            <w:tcW w:w="1600" w:type="pct"/>
            <w:tcBorders>
              <w:top w:val="outset" w:sz="6" w:space="0" w:color="auto"/>
              <w:left w:val="outset" w:sz="6" w:space="0" w:color="auto"/>
              <w:bottom w:val="outset" w:sz="6" w:space="0" w:color="auto"/>
              <w:right w:val="outset" w:sz="6" w:space="0" w:color="auto"/>
            </w:tcBorders>
            <w:vAlign w:val="center"/>
            <w:hideMark/>
          </w:tcPr>
          <w:p w:rsidR="00C31D20" w:rsidRPr="006261F6" w:rsidRDefault="00C31D20" w:rsidP="00C31D20">
            <w:pPr>
              <w:contextualSpacing/>
              <w:jc w:val="center"/>
              <w:rPr>
                <w:rFonts w:ascii="Arial" w:hAnsi="Arial" w:cs="Arial"/>
                <w:color w:val="000000" w:themeColor="text1"/>
                <w:sz w:val="16"/>
                <w:szCs w:val="16"/>
              </w:rPr>
            </w:pPr>
            <w:r w:rsidRPr="006261F6">
              <w:rPr>
                <w:rFonts w:ascii="Arial" w:hAnsi="Arial" w:cs="Arial"/>
                <w:color w:val="000000" w:themeColor="text1"/>
                <w:sz w:val="16"/>
                <w:szCs w:val="16"/>
              </w:rPr>
              <w:t>c=0</w:t>
            </w:r>
          </w:p>
        </w:tc>
        <w:tc>
          <w:tcPr>
            <w:tcW w:w="1650" w:type="pct"/>
            <w:tcBorders>
              <w:top w:val="outset" w:sz="6" w:space="0" w:color="auto"/>
              <w:left w:val="outset" w:sz="6" w:space="0" w:color="auto"/>
              <w:bottom w:val="outset" w:sz="6" w:space="0" w:color="auto"/>
              <w:right w:val="outset" w:sz="6" w:space="0" w:color="auto"/>
            </w:tcBorders>
            <w:vAlign w:val="center"/>
            <w:hideMark/>
          </w:tcPr>
          <w:p w:rsidR="00C31D20" w:rsidRPr="006261F6" w:rsidRDefault="00C31D20" w:rsidP="00C31D20">
            <w:pPr>
              <w:contextualSpacing/>
              <w:jc w:val="center"/>
              <w:rPr>
                <w:rFonts w:ascii="Arial" w:hAnsi="Arial" w:cs="Arial"/>
                <w:color w:val="000000" w:themeColor="text1"/>
                <w:sz w:val="16"/>
                <w:szCs w:val="16"/>
              </w:rPr>
            </w:pPr>
            <w:r w:rsidRPr="006261F6">
              <w:rPr>
                <w:rFonts w:ascii="Arial" w:hAnsi="Arial" w:cs="Arial"/>
                <w:color w:val="000000" w:themeColor="text1"/>
                <w:sz w:val="16"/>
                <w:szCs w:val="16"/>
              </w:rPr>
              <w:t>c=máx. [m, 2.8%]</w:t>
            </w:r>
          </w:p>
        </w:tc>
      </w:tr>
    </w:tbl>
    <w:p w:rsidR="00C31D20" w:rsidRPr="00197AF3" w:rsidRDefault="00C31D20" w:rsidP="00C31D20">
      <w:pPr>
        <w:contextualSpacing/>
        <w:jc w:val="both"/>
        <w:rPr>
          <w:rFonts w:ascii="Arial" w:hAnsi="Arial" w:cs="Arial"/>
          <w:b/>
          <w:bCs/>
          <w:color w:val="000000" w:themeColor="text1"/>
        </w:rPr>
      </w:pPr>
    </w:p>
    <w:p w:rsidR="00C31D20" w:rsidRPr="00197AF3" w:rsidRDefault="00C31D20" w:rsidP="00C31D20">
      <w:pPr>
        <w:contextualSpacing/>
        <w:jc w:val="both"/>
        <w:rPr>
          <w:rFonts w:ascii="Arial" w:hAnsi="Arial" w:cs="Arial"/>
          <w:color w:val="000000" w:themeColor="text1"/>
        </w:rPr>
      </w:pPr>
      <w:r w:rsidRPr="00197AF3">
        <w:rPr>
          <w:rFonts w:ascii="Arial" w:hAnsi="Arial" w:cs="Arial"/>
          <w:b/>
          <w:bCs/>
          <w:color w:val="000000" w:themeColor="text1"/>
        </w:rPr>
        <w:t>Parágrafo 1°.</w:t>
      </w:r>
      <w:r w:rsidRPr="00197AF3">
        <w:rPr>
          <w:rFonts w:ascii="Arial" w:hAnsi="Arial" w:cs="Arial"/>
          <w:color w:val="000000" w:themeColor="text1"/>
        </w:rPr>
        <w:t> Con base en los cálculos realizados para la fecha de cálculo, el Ministerio de Hacienda y Crédito Pú</w:t>
      </w:r>
      <w:r>
        <w:rPr>
          <w:rFonts w:ascii="Arial" w:hAnsi="Arial" w:cs="Arial"/>
          <w:color w:val="000000" w:themeColor="text1"/>
        </w:rPr>
        <w:t>blico  con revisión y verificación d</w:t>
      </w:r>
      <w:r w:rsidRPr="00197AF3">
        <w:rPr>
          <w:rFonts w:ascii="Arial" w:hAnsi="Arial" w:cs="Arial"/>
          <w:color w:val="000000" w:themeColor="text1"/>
        </w:rPr>
        <w:t>el Observatorio de Control y Vigilancia de las Finanzas y las Políticas Públicas</w:t>
      </w:r>
      <w:r w:rsidRPr="00197AF3">
        <w:rPr>
          <w:rFonts w:ascii="Arial" w:hAnsi="Arial" w:cs="Arial"/>
          <w:b/>
          <w:bCs/>
          <w:color w:val="000000" w:themeColor="text1"/>
        </w:rPr>
        <w:t xml:space="preserve"> - </w:t>
      </w:r>
      <w:r w:rsidRPr="00197AF3">
        <w:rPr>
          <w:rFonts w:ascii="Arial" w:hAnsi="Arial" w:cs="Arial"/>
          <w:color w:val="000000" w:themeColor="text1"/>
          <w:shd w:val="clear" w:color="auto" w:fill="FFFFFF"/>
        </w:rPr>
        <w:t>Contraloría General de la República</w:t>
      </w:r>
      <w:r w:rsidRPr="00197AF3">
        <w:rPr>
          <w:rFonts w:ascii="Arial" w:hAnsi="Arial" w:cs="Arial"/>
          <w:color w:val="000000" w:themeColor="text1"/>
        </w:rPr>
        <w:t xml:space="preserve">; determinaran, revisaran y verificaran el </w:t>
      </w:r>
      <w:r>
        <w:rPr>
          <w:rFonts w:ascii="Arial" w:hAnsi="Arial" w:cs="Arial"/>
          <w:color w:val="000000" w:themeColor="text1"/>
        </w:rPr>
        <w:t xml:space="preserve">cálculo al Valor de Referencia </w:t>
      </w:r>
      <w:r w:rsidRPr="00197AF3">
        <w:rPr>
          <w:rFonts w:ascii="Arial" w:hAnsi="Arial" w:cs="Arial"/>
          <w:color w:val="000000" w:themeColor="text1"/>
        </w:rPr>
        <w:t>vigente para el siguiente mes de acuerdo con la fórmula señalada a continuación: </w:t>
      </w:r>
    </w:p>
    <w:p w:rsidR="00C31D20" w:rsidRPr="00197AF3" w:rsidRDefault="00C31D20" w:rsidP="00C31D20">
      <w:pPr>
        <w:contextualSpacing/>
        <w:jc w:val="both"/>
        <w:rPr>
          <w:rFonts w:ascii="Arial" w:hAnsi="Arial" w:cs="Arial"/>
          <w:color w:val="000000" w:themeColor="text1"/>
        </w:rPr>
      </w:pPr>
      <w:r w:rsidRPr="00197AF3">
        <w:rPr>
          <w:rFonts w:ascii="Arial" w:hAnsi="Arial" w:cs="Arial"/>
          <w:color w:val="000000" w:themeColor="text1"/>
        </w:rPr>
        <w:t>  </w:t>
      </w:r>
    </w:p>
    <w:p w:rsidR="00C31D20" w:rsidRDefault="00C31D20" w:rsidP="00C31D20">
      <w:pPr>
        <w:contextualSpacing/>
        <w:jc w:val="center"/>
        <w:rPr>
          <w:rFonts w:ascii="Arial" w:hAnsi="Arial" w:cs="Arial"/>
          <w:b/>
          <w:bCs/>
          <w:color w:val="000000" w:themeColor="text1"/>
        </w:rPr>
      </w:pPr>
      <w:r>
        <w:rPr>
          <w:rFonts w:ascii="Arial" w:hAnsi="Arial" w:cs="Arial"/>
          <w:b/>
          <w:bCs/>
          <w:color w:val="000000" w:themeColor="text1"/>
        </w:rPr>
        <w:t xml:space="preserve">VR (siguiente mes) = [VR </w:t>
      </w:r>
      <w:r w:rsidRPr="00197AF3">
        <w:rPr>
          <w:rFonts w:ascii="Arial" w:hAnsi="Arial" w:cs="Arial"/>
          <w:b/>
          <w:bCs/>
          <w:color w:val="000000" w:themeColor="text1"/>
        </w:rPr>
        <w:t>(vigente) * (1+c)</w:t>
      </w:r>
      <w:r>
        <w:rPr>
          <w:rFonts w:ascii="Arial" w:hAnsi="Arial" w:cs="Arial"/>
          <w:b/>
          <w:bCs/>
          <w:color w:val="000000" w:themeColor="text1"/>
        </w:rPr>
        <w:t>] * 0.95</w:t>
      </w:r>
    </w:p>
    <w:p w:rsidR="00C31D20" w:rsidRDefault="00C31D20" w:rsidP="00C31D20">
      <w:pPr>
        <w:contextualSpacing/>
        <w:jc w:val="both"/>
        <w:rPr>
          <w:rFonts w:ascii="Arial" w:hAnsi="Arial" w:cs="Arial"/>
          <w:b/>
          <w:bCs/>
          <w:color w:val="000000" w:themeColor="text1"/>
        </w:rPr>
      </w:pPr>
    </w:p>
    <w:p w:rsidR="00C31D20" w:rsidRPr="006A6F4C" w:rsidRDefault="00C31D20" w:rsidP="00C31D20">
      <w:pPr>
        <w:contextualSpacing/>
        <w:jc w:val="both"/>
        <w:rPr>
          <w:rFonts w:ascii="Arial" w:hAnsi="Arial" w:cs="Arial"/>
          <w:b/>
          <w:bCs/>
          <w:color w:val="000000" w:themeColor="text1"/>
        </w:rPr>
      </w:pPr>
      <w:r>
        <w:rPr>
          <w:rFonts w:ascii="Arial" w:hAnsi="Arial" w:cs="Arial"/>
          <w:b/>
          <w:bCs/>
          <w:color w:val="000000" w:themeColor="text1"/>
        </w:rPr>
        <w:t xml:space="preserve">Factor de Compensación (0.95) = </w:t>
      </w:r>
      <w:r>
        <w:rPr>
          <w:rFonts w:ascii="Arial" w:hAnsi="Arial" w:cs="Arial"/>
          <w:bCs/>
          <w:color w:val="000000" w:themeColor="text1"/>
        </w:rPr>
        <w:t>Corresponde al factor de descuento por compensación de daños causados al consumidor</w:t>
      </w:r>
      <w:r w:rsidR="00FB1636">
        <w:rPr>
          <w:rFonts w:ascii="Arial" w:hAnsi="Arial" w:cs="Arial"/>
          <w:bCs/>
          <w:color w:val="000000" w:themeColor="text1"/>
        </w:rPr>
        <w:t xml:space="preserve">, </w:t>
      </w:r>
      <w:r w:rsidR="00FB1636">
        <w:rPr>
          <w:rFonts w:ascii="Arial" w:hAnsi="Arial" w:cs="Arial"/>
          <w:bCs/>
          <w:color w:val="000000" w:themeColor="text1"/>
        </w:rPr>
        <w:t xml:space="preserve">que estará fijo por diez (10) años, a partir de la promulgación de esta ley. </w:t>
      </w:r>
      <w:bookmarkStart w:id="1" w:name="_GoBack"/>
      <w:bookmarkEnd w:id="1"/>
    </w:p>
    <w:p w:rsidR="00C31D20" w:rsidRPr="00197AF3" w:rsidRDefault="00C31D20" w:rsidP="00C31D20">
      <w:pPr>
        <w:contextualSpacing/>
        <w:jc w:val="both"/>
        <w:rPr>
          <w:rFonts w:ascii="Arial" w:hAnsi="Arial" w:cs="Arial"/>
          <w:color w:val="000000" w:themeColor="text1"/>
        </w:rPr>
      </w:pPr>
    </w:p>
    <w:p w:rsidR="00C31D20" w:rsidRDefault="00C31D20" w:rsidP="00C31D20">
      <w:pPr>
        <w:pStyle w:val="NormalWeb"/>
        <w:spacing w:before="0" w:beforeAutospacing="0" w:after="0" w:afterAutospacing="0" w:line="254" w:lineRule="atLeast"/>
        <w:contextualSpacing/>
        <w:jc w:val="both"/>
        <w:rPr>
          <w:rFonts w:ascii="Arial" w:hAnsi="Arial" w:cs="Arial"/>
          <w:color w:val="000000"/>
        </w:rPr>
      </w:pPr>
      <w:r w:rsidRPr="00197AF3">
        <w:rPr>
          <w:rFonts w:ascii="Arial" w:hAnsi="Arial" w:cs="Arial"/>
          <w:b/>
          <w:bCs/>
          <w:color w:val="000000" w:themeColor="text1"/>
        </w:rPr>
        <w:t>Parágrafo 2°.</w:t>
      </w:r>
      <w:r w:rsidRPr="00197AF3">
        <w:rPr>
          <w:rFonts w:ascii="Arial" w:hAnsi="Arial" w:cs="Arial"/>
          <w:color w:val="000000" w:themeColor="text1"/>
        </w:rPr>
        <w:t> Con el fin de establecer política clara y transparente a la estructura del precio de los combustibles, el Ministerio de Hacienda y Crédito Público y el Observatorio de Control y Vigilancia de las Finanzas y las Políticas Públicas</w:t>
      </w:r>
      <w:r w:rsidRPr="00197AF3">
        <w:rPr>
          <w:rFonts w:ascii="Arial" w:hAnsi="Arial" w:cs="Arial"/>
          <w:b/>
          <w:bCs/>
          <w:color w:val="000000" w:themeColor="text1"/>
        </w:rPr>
        <w:t xml:space="preserve"> - </w:t>
      </w:r>
      <w:r w:rsidRPr="00197AF3">
        <w:rPr>
          <w:rFonts w:ascii="Arial" w:hAnsi="Arial" w:cs="Arial"/>
          <w:color w:val="000000" w:themeColor="text1"/>
          <w:shd w:val="clear" w:color="auto" w:fill="FFFFFF"/>
        </w:rPr>
        <w:t>Contraloría General de la República</w:t>
      </w:r>
      <w:r w:rsidRPr="00197AF3">
        <w:rPr>
          <w:rFonts w:ascii="Arial" w:hAnsi="Arial" w:cs="Arial"/>
          <w:color w:val="000000" w:themeColor="text1"/>
        </w:rPr>
        <w:t xml:space="preserve">, </w:t>
      </w:r>
      <w:r w:rsidRPr="00F828AD">
        <w:rPr>
          <w:rFonts w:ascii="Arial" w:hAnsi="Arial" w:cs="Arial"/>
          <w:color w:val="000000" w:themeColor="text1"/>
        </w:rPr>
        <w:t>publicaran</w:t>
      </w:r>
      <w:r>
        <w:rPr>
          <w:rFonts w:ascii="Arial" w:hAnsi="Arial" w:cs="Arial"/>
          <w:color w:val="000000" w:themeColor="text1"/>
        </w:rPr>
        <w:t xml:space="preserve"> el cálculo de la anterior formula abiertamente en las correspondientes paginas oficiales de las entidades, así como </w:t>
      </w:r>
      <w:r>
        <w:rPr>
          <w:rFonts w:ascii="Arial" w:hAnsi="Arial" w:cs="Arial"/>
          <w:color w:val="000000" w:themeColor="text1"/>
        </w:rPr>
        <w:lastRenderedPageBreak/>
        <w:t xml:space="preserve">enviaran copia física a la Secretarias Generales de la Cámara de Representantes y el Senado de la Republica, </w:t>
      </w:r>
      <w:r>
        <w:rPr>
          <w:rFonts w:ascii="Arial" w:hAnsi="Arial" w:cs="Arial"/>
          <w:color w:val="000000"/>
        </w:rPr>
        <w:t>en un término no mayor a siete (07</w:t>
      </w:r>
      <w:r w:rsidRPr="00197AF3">
        <w:rPr>
          <w:rFonts w:ascii="Arial" w:hAnsi="Arial" w:cs="Arial"/>
          <w:color w:val="000000"/>
        </w:rPr>
        <w:t xml:space="preserve">) días calendario posteriores al </w:t>
      </w:r>
      <w:r>
        <w:rPr>
          <w:rFonts w:ascii="Arial" w:hAnsi="Arial" w:cs="Arial"/>
          <w:color w:val="000000"/>
        </w:rPr>
        <w:t xml:space="preserve">cálculo mencionado en el presente artículo. </w:t>
      </w:r>
    </w:p>
    <w:p w:rsidR="006A6F4C" w:rsidRDefault="006A6F4C" w:rsidP="00C31D20">
      <w:pPr>
        <w:pStyle w:val="NormalWeb"/>
        <w:spacing w:before="0" w:beforeAutospacing="0" w:after="0" w:afterAutospacing="0" w:line="254" w:lineRule="atLeast"/>
        <w:contextualSpacing/>
        <w:jc w:val="both"/>
        <w:rPr>
          <w:rFonts w:ascii="Arial" w:hAnsi="Arial" w:cs="Arial"/>
          <w:color w:val="000000"/>
        </w:rPr>
      </w:pPr>
    </w:p>
    <w:p w:rsidR="00490E7F" w:rsidRDefault="002D432E" w:rsidP="00C31D20">
      <w:pPr>
        <w:shd w:val="clear" w:color="auto" w:fill="FFFFFF"/>
        <w:spacing w:before="150" w:after="150"/>
        <w:contextualSpacing/>
        <w:jc w:val="both"/>
        <w:rPr>
          <w:rFonts w:ascii="Arial" w:hAnsi="Arial" w:cs="Arial"/>
          <w:color w:val="000000" w:themeColor="text1"/>
        </w:rPr>
      </w:pPr>
      <w:r w:rsidRPr="000E5087">
        <w:rPr>
          <w:rFonts w:ascii="Arial" w:hAnsi="Arial" w:cs="Arial"/>
          <w:b/>
          <w:color w:val="000000" w:themeColor="text1"/>
        </w:rPr>
        <w:t>Artículo 5°. Sobretasa</w:t>
      </w:r>
      <w:r w:rsidR="000439D7" w:rsidRPr="000E5087">
        <w:rPr>
          <w:rFonts w:ascii="Arial" w:hAnsi="Arial" w:cs="Arial"/>
          <w:b/>
          <w:color w:val="000000" w:themeColor="text1"/>
        </w:rPr>
        <w:t xml:space="preserve"> a la Gasolina motor</w:t>
      </w:r>
      <w:r w:rsidR="009B70DB" w:rsidRPr="000E5087">
        <w:rPr>
          <w:rFonts w:ascii="Arial" w:hAnsi="Arial" w:cs="Arial"/>
          <w:b/>
          <w:color w:val="000000" w:themeColor="text1"/>
        </w:rPr>
        <w:t xml:space="preserve"> y ACPM</w:t>
      </w:r>
      <w:r w:rsidRPr="000E5087">
        <w:rPr>
          <w:rFonts w:ascii="Arial" w:hAnsi="Arial" w:cs="Arial"/>
          <w:b/>
          <w:color w:val="000000" w:themeColor="text1"/>
        </w:rPr>
        <w:t>.</w:t>
      </w:r>
      <w:r w:rsidRPr="000E5087">
        <w:rPr>
          <w:rFonts w:ascii="Arial" w:hAnsi="Arial" w:cs="Arial"/>
          <w:color w:val="000000" w:themeColor="text1"/>
        </w:rPr>
        <w:t xml:space="preserve"> </w:t>
      </w:r>
      <w:r w:rsidR="00490E7F" w:rsidRPr="000E5087">
        <w:rPr>
          <w:rFonts w:ascii="Arial" w:hAnsi="Arial" w:cs="Arial"/>
          <w:color w:val="000000" w:themeColor="text1"/>
        </w:rPr>
        <w:t>Autorizase a los municipios, distritos</w:t>
      </w:r>
      <w:r w:rsidR="000E5087" w:rsidRPr="000E5087">
        <w:rPr>
          <w:rFonts w:ascii="Arial" w:hAnsi="Arial" w:cs="Arial"/>
          <w:color w:val="000000" w:themeColor="text1"/>
        </w:rPr>
        <w:t xml:space="preserve"> </w:t>
      </w:r>
      <w:r w:rsidR="00490E7F" w:rsidRPr="000E5087">
        <w:rPr>
          <w:rFonts w:ascii="Arial" w:hAnsi="Arial" w:cs="Arial"/>
          <w:color w:val="000000" w:themeColor="text1"/>
        </w:rPr>
        <w:t>y departamentos, para adoptar la sobretasa a la gasolina motor extra y corriente, en las condiciones establecidas en la presente ley.</w:t>
      </w:r>
    </w:p>
    <w:p w:rsidR="008A40C5" w:rsidRDefault="008A40C5" w:rsidP="00C31D20">
      <w:pPr>
        <w:shd w:val="clear" w:color="auto" w:fill="FFFFFF"/>
        <w:spacing w:before="150" w:after="150"/>
        <w:contextualSpacing/>
        <w:jc w:val="both"/>
        <w:rPr>
          <w:rFonts w:ascii="Arial" w:hAnsi="Arial" w:cs="Arial"/>
          <w:color w:val="000000" w:themeColor="text1"/>
        </w:rPr>
      </w:pPr>
    </w:p>
    <w:p w:rsidR="008A40C5" w:rsidRPr="00C31D20" w:rsidRDefault="008A40C5" w:rsidP="00C31D20">
      <w:pPr>
        <w:shd w:val="clear" w:color="auto" w:fill="FFFFFF"/>
        <w:spacing w:before="150" w:after="150"/>
        <w:contextualSpacing/>
        <w:jc w:val="both"/>
        <w:rPr>
          <w:rFonts w:ascii="Arial" w:hAnsi="Arial" w:cs="Arial"/>
          <w:color w:val="000000" w:themeColor="text1"/>
        </w:rPr>
      </w:pPr>
      <w:r w:rsidRPr="00C31D20">
        <w:rPr>
          <w:rFonts w:ascii="Arial" w:hAnsi="Arial" w:cs="Arial"/>
          <w:color w:val="000000" w:themeColor="text1"/>
        </w:rPr>
        <w:t>Autorízase a los municipios, distritos y departamentos, para adoptar la sobretasa a la gasolina motor extra y corriente, en las condiciones establecidas en la presente ley.</w:t>
      </w:r>
    </w:p>
    <w:p w:rsidR="008A40C5" w:rsidRPr="00C31D20" w:rsidRDefault="008A40C5" w:rsidP="00C31D20">
      <w:pPr>
        <w:shd w:val="clear" w:color="auto" w:fill="FFFFFF"/>
        <w:spacing w:before="150" w:after="150"/>
        <w:contextualSpacing/>
        <w:jc w:val="both"/>
        <w:rPr>
          <w:rFonts w:ascii="Arial" w:hAnsi="Arial" w:cs="Arial"/>
          <w:color w:val="000000" w:themeColor="text1"/>
        </w:rPr>
      </w:pPr>
    </w:p>
    <w:p w:rsidR="008A40C5" w:rsidRPr="00C31D20" w:rsidRDefault="008A40C5" w:rsidP="00C31D20">
      <w:pPr>
        <w:shd w:val="clear" w:color="auto" w:fill="FFFFFF"/>
        <w:spacing w:before="150" w:after="150"/>
        <w:contextualSpacing/>
        <w:jc w:val="both"/>
        <w:rPr>
          <w:rFonts w:ascii="Arial" w:hAnsi="Arial" w:cs="Arial"/>
          <w:color w:val="000000" w:themeColor="text1"/>
        </w:rPr>
      </w:pPr>
      <w:r w:rsidRPr="00C31D20">
        <w:rPr>
          <w:rFonts w:ascii="Arial" w:hAnsi="Arial" w:cs="Arial"/>
          <w:color w:val="000000" w:themeColor="text1"/>
        </w:rPr>
        <w:t>Créase como contribución nacional la sobretasa al ACPM. La sobretasa al ACPM será del tres por ciento (3%). Será cobrada por la Nación y distribuida en un cincuenta por ciento (50%) para el mantenimiento de la red vial nacional y otro cincuenta por ciento (50%) para los departamentos incluido el Distrito Capital con destino al mantenimiento de la red vial. La base gravable, el hecho generador, la declaración, el pago, la causación y los otros aspectos técnicos serán iguales a los de la sobretasa de la gasolina.</w:t>
      </w:r>
    </w:p>
    <w:p w:rsidR="008A40C5" w:rsidRPr="00C31D20" w:rsidRDefault="00045EC9" w:rsidP="00C31D20">
      <w:pPr>
        <w:shd w:val="clear" w:color="auto" w:fill="FFFFFF"/>
        <w:spacing w:before="150" w:after="150"/>
        <w:contextualSpacing/>
        <w:jc w:val="both"/>
        <w:rPr>
          <w:rFonts w:ascii="Arial" w:hAnsi="Arial" w:cs="Arial"/>
          <w:color w:val="333333"/>
        </w:rPr>
      </w:pPr>
      <w:r>
        <w:rPr>
          <w:rFonts w:ascii="Arial" w:hAnsi="Arial" w:cs="Arial"/>
          <w:color w:val="333333"/>
        </w:rPr>
        <w:t>23</w:t>
      </w:r>
    </w:p>
    <w:p w:rsidR="009B70DB" w:rsidRPr="000E5087" w:rsidRDefault="00490E7F" w:rsidP="00C31D20">
      <w:pPr>
        <w:shd w:val="clear" w:color="auto" w:fill="FFFFFF"/>
        <w:spacing w:before="150" w:after="150"/>
        <w:contextualSpacing/>
        <w:jc w:val="both"/>
        <w:rPr>
          <w:rFonts w:ascii="Arial" w:hAnsi="Arial" w:cs="Arial"/>
          <w:color w:val="000000" w:themeColor="text1"/>
          <w:lang w:eastAsia="es-CO"/>
        </w:rPr>
      </w:pPr>
      <w:r w:rsidRPr="000E5087">
        <w:rPr>
          <w:rFonts w:ascii="Arial" w:hAnsi="Arial" w:cs="Arial"/>
          <w:b/>
          <w:color w:val="000000" w:themeColor="text1"/>
        </w:rPr>
        <w:t>Parágrafo 1. Liquidación</w:t>
      </w:r>
      <w:r w:rsidR="000E5087">
        <w:rPr>
          <w:rFonts w:ascii="Arial" w:hAnsi="Arial" w:cs="Arial"/>
          <w:b/>
          <w:color w:val="000000" w:themeColor="text1"/>
        </w:rPr>
        <w:t>.</w:t>
      </w:r>
      <w:r w:rsidRPr="000E5087">
        <w:rPr>
          <w:rFonts w:ascii="Arial" w:hAnsi="Arial" w:cs="Arial"/>
          <w:color w:val="000000" w:themeColor="text1"/>
        </w:rPr>
        <w:t xml:space="preserve"> </w:t>
      </w:r>
      <w:r w:rsidR="002D432E" w:rsidRPr="000E5087">
        <w:rPr>
          <w:rFonts w:ascii="Arial" w:hAnsi="Arial" w:cs="Arial"/>
          <w:color w:val="000000" w:themeColor="text1"/>
        </w:rPr>
        <w:t>Para efectos de la liquidación de la sobretas</w:t>
      </w:r>
      <w:r w:rsidR="000439D7" w:rsidRPr="000E5087">
        <w:rPr>
          <w:rFonts w:ascii="Arial" w:hAnsi="Arial" w:cs="Arial"/>
          <w:color w:val="000000" w:themeColor="text1"/>
        </w:rPr>
        <w:t>a a la gasoli</w:t>
      </w:r>
      <w:r w:rsidRPr="000E5087">
        <w:rPr>
          <w:rFonts w:ascii="Arial" w:hAnsi="Arial" w:cs="Arial"/>
          <w:color w:val="000000" w:themeColor="text1"/>
        </w:rPr>
        <w:t>na</w:t>
      </w:r>
      <w:r w:rsidR="002D432E" w:rsidRPr="000E5087">
        <w:rPr>
          <w:rFonts w:ascii="Arial" w:hAnsi="Arial" w:cs="Arial"/>
          <w:color w:val="000000" w:themeColor="text1"/>
        </w:rPr>
        <w:t xml:space="preserve">, se tomará </w:t>
      </w:r>
      <w:r w:rsidR="009B70DB" w:rsidRPr="000E5087">
        <w:rPr>
          <w:rFonts w:ascii="Arial" w:hAnsi="Arial" w:cs="Arial"/>
          <w:color w:val="000000" w:themeColor="text1"/>
        </w:rPr>
        <w:t>de la base</w:t>
      </w:r>
      <w:r w:rsidR="002D432E" w:rsidRPr="000E5087">
        <w:rPr>
          <w:rFonts w:ascii="Arial" w:hAnsi="Arial" w:cs="Arial"/>
          <w:color w:val="000000" w:themeColor="text1"/>
        </w:rPr>
        <w:t xml:space="preserve"> gravable </w:t>
      </w:r>
      <w:r w:rsidR="009B70DB" w:rsidRPr="000E5087">
        <w:rPr>
          <w:rFonts w:ascii="Arial" w:hAnsi="Arial" w:cs="Arial"/>
          <w:color w:val="000000" w:themeColor="text1"/>
        </w:rPr>
        <w:t>d</w:t>
      </w:r>
      <w:r w:rsidR="002D432E" w:rsidRPr="000E5087">
        <w:rPr>
          <w:rFonts w:ascii="Arial" w:hAnsi="Arial" w:cs="Arial"/>
          <w:color w:val="000000" w:themeColor="text1"/>
        </w:rPr>
        <w:t>el resultado de la única metod</w:t>
      </w:r>
      <w:r w:rsidR="00EA73B0">
        <w:rPr>
          <w:rFonts w:ascii="Arial" w:hAnsi="Arial" w:cs="Arial"/>
          <w:color w:val="000000" w:themeColor="text1"/>
        </w:rPr>
        <w:t xml:space="preserve">ología de cálculo del valor de referencia </w:t>
      </w:r>
      <w:r w:rsidR="002D432E" w:rsidRPr="000E5087">
        <w:rPr>
          <w:rFonts w:ascii="Arial" w:hAnsi="Arial" w:cs="Arial"/>
          <w:color w:val="000000" w:themeColor="text1"/>
        </w:rPr>
        <w:t>por galón publicado públicamente mensualmente por el Ministerio de Hacienda y Crédito Público y el Observatorio de Control y Vigilancia de las Finanzas y las Políticas Públicas</w:t>
      </w:r>
      <w:r w:rsidR="002D432E" w:rsidRPr="000E5087">
        <w:rPr>
          <w:rFonts w:ascii="Arial" w:hAnsi="Arial" w:cs="Arial"/>
          <w:b/>
          <w:bCs/>
          <w:color w:val="000000" w:themeColor="text1"/>
        </w:rPr>
        <w:t xml:space="preserve"> - </w:t>
      </w:r>
      <w:r w:rsidR="002D432E" w:rsidRPr="000E5087">
        <w:rPr>
          <w:rFonts w:ascii="Arial" w:hAnsi="Arial" w:cs="Arial"/>
          <w:color w:val="000000" w:themeColor="text1"/>
          <w:shd w:val="clear" w:color="auto" w:fill="FFFFFF"/>
        </w:rPr>
        <w:t xml:space="preserve">Contraloría General de la </w:t>
      </w:r>
      <w:r w:rsidR="000439D7" w:rsidRPr="000E5087">
        <w:rPr>
          <w:rFonts w:ascii="Arial" w:hAnsi="Arial" w:cs="Arial"/>
          <w:color w:val="000000" w:themeColor="text1"/>
          <w:shd w:val="clear" w:color="auto" w:fill="FFFFFF"/>
        </w:rPr>
        <w:t>República</w:t>
      </w:r>
      <w:r w:rsidR="009B70DB" w:rsidRPr="000E5087">
        <w:rPr>
          <w:rFonts w:ascii="Arial" w:hAnsi="Arial" w:cs="Arial"/>
          <w:color w:val="000000" w:themeColor="text1"/>
          <w:lang w:eastAsia="es-CO"/>
        </w:rPr>
        <w:t>.</w:t>
      </w:r>
    </w:p>
    <w:p w:rsidR="00F3792A" w:rsidRDefault="00490E7F" w:rsidP="00C31D20">
      <w:pPr>
        <w:pStyle w:val="NormalWeb"/>
        <w:spacing w:line="270" w:lineRule="atLeast"/>
        <w:contextualSpacing/>
        <w:jc w:val="both"/>
        <w:rPr>
          <w:rFonts w:ascii="Arial" w:hAnsi="Arial" w:cs="Arial"/>
          <w:color w:val="000000" w:themeColor="text1"/>
        </w:rPr>
      </w:pPr>
      <w:bookmarkStart w:id="2" w:name="122"/>
      <w:r w:rsidRPr="000E5087">
        <w:rPr>
          <w:rFonts w:ascii="Arial" w:hAnsi="Arial" w:cs="Arial"/>
          <w:b/>
          <w:bCs/>
          <w:color w:val="000000" w:themeColor="text1"/>
        </w:rPr>
        <w:t>Parágrafo 2. Tarifa Municipal y Distrital.</w:t>
      </w:r>
      <w:bookmarkEnd w:id="2"/>
      <w:r w:rsidRPr="000E5087">
        <w:rPr>
          <w:rFonts w:ascii="Arial" w:hAnsi="Arial" w:cs="Arial"/>
          <w:color w:val="000000" w:themeColor="text1"/>
        </w:rPr>
        <w:t> El Concejo municipal o distrital, dentro de los noventa (90) días siguientes a la vigencia de esta Ley, fijará la tarifa de la sobretasa a la gasolina motor extra o corriente aplicable en su jurisdicción, la cual no podrá ser inferior al cinco por ciento (5%) ni superior al ocho por ciento (8%).</w:t>
      </w:r>
    </w:p>
    <w:p w:rsidR="00F3792A" w:rsidRDefault="00F3792A" w:rsidP="00C31D20">
      <w:pPr>
        <w:shd w:val="clear" w:color="auto" w:fill="FFFFFF"/>
        <w:spacing w:before="150" w:after="120" w:line="240" w:lineRule="atLeast"/>
        <w:contextualSpacing/>
        <w:jc w:val="both"/>
        <w:rPr>
          <w:rFonts w:ascii="Arial" w:hAnsi="Arial" w:cs="Arial"/>
          <w:color w:val="000000" w:themeColor="text1"/>
        </w:rPr>
      </w:pPr>
      <w:r w:rsidRPr="00EA73B0">
        <w:rPr>
          <w:rFonts w:ascii="Arial" w:hAnsi="Arial" w:cs="Arial"/>
          <w:b/>
          <w:bCs/>
          <w:color w:val="000000" w:themeColor="text1"/>
        </w:rPr>
        <w:t xml:space="preserve">Parágrafo 2.1. </w:t>
      </w:r>
      <w:r w:rsidRPr="00EA73B0">
        <w:rPr>
          <w:rFonts w:ascii="Arial" w:hAnsi="Arial" w:cs="Arial"/>
          <w:color w:val="000000" w:themeColor="text1"/>
        </w:rPr>
        <w:t>Para los fines de este artículo, el departamento de Cundinamarca no incluye al Distrito Capital de Santa Fe de Bogotá.</w:t>
      </w:r>
    </w:p>
    <w:p w:rsidR="00EA73B0" w:rsidRPr="00EA73B0" w:rsidRDefault="00EA73B0" w:rsidP="00C31D20">
      <w:pPr>
        <w:shd w:val="clear" w:color="auto" w:fill="FFFFFF"/>
        <w:spacing w:before="150" w:after="120" w:line="240" w:lineRule="atLeast"/>
        <w:contextualSpacing/>
        <w:jc w:val="both"/>
        <w:rPr>
          <w:rFonts w:ascii="Arial" w:hAnsi="Arial" w:cs="Arial"/>
          <w:color w:val="000000" w:themeColor="text1"/>
        </w:rPr>
      </w:pPr>
    </w:p>
    <w:p w:rsidR="00F3792A" w:rsidRPr="00EA73B0" w:rsidRDefault="00F3792A" w:rsidP="00C31D20">
      <w:pPr>
        <w:shd w:val="clear" w:color="auto" w:fill="FFFFFF"/>
        <w:spacing w:before="150" w:after="120" w:line="240" w:lineRule="atLeast"/>
        <w:contextualSpacing/>
        <w:jc w:val="both"/>
        <w:rPr>
          <w:rFonts w:ascii="Arial" w:hAnsi="Arial" w:cs="Arial"/>
          <w:color w:val="000000" w:themeColor="text1"/>
        </w:rPr>
      </w:pPr>
      <w:r w:rsidRPr="00EA73B0">
        <w:rPr>
          <w:rFonts w:ascii="Arial" w:hAnsi="Arial" w:cs="Arial"/>
          <w:color w:val="000000" w:themeColor="text1"/>
        </w:rPr>
        <w:t>La tarifa aplicable a la sobretasa a la gasolina motor extra o corriente en el Distrito Capital de Santa Fe de Bogotá, podrá c</w:t>
      </w:r>
      <w:r w:rsidR="00E31080">
        <w:rPr>
          <w:rFonts w:ascii="Arial" w:hAnsi="Arial" w:cs="Arial"/>
          <w:color w:val="000000" w:themeColor="text1"/>
        </w:rPr>
        <w:t>ontinuar siendo hasta del quince</w:t>
      </w:r>
      <w:r w:rsidRPr="00EA73B0">
        <w:rPr>
          <w:rFonts w:ascii="Arial" w:hAnsi="Arial" w:cs="Arial"/>
          <w:color w:val="000000" w:themeColor="text1"/>
        </w:rPr>
        <w:t xml:space="preserve"> por ciento (15%).</w:t>
      </w:r>
    </w:p>
    <w:p w:rsidR="009B70DB" w:rsidRDefault="00490E7F" w:rsidP="00C31D20">
      <w:pPr>
        <w:pStyle w:val="NormalWeb"/>
        <w:spacing w:line="270" w:lineRule="atLeast"/>
        <w:contextualSpacing/>
        <w:jc w:val="both"/>
        <w:rPr>
          <w:rFonts w:ascii="Arial" w:hAnsi="Arial" w:cs="Arial"/>
          <w:color w:val="000000" w:themeColor="text1"/>
        </w:rPr>
      </w:pPr>
      <w:bookmarkStart w:id="3" w:name="123"/>
      <w:r w:rsidRPr="000E5087">
        <w:rPr>
          <w:rFonts w:ascii="Arial" w:hAnsi="Arial" w:cs="Arial"/>
          <w:b/>
          <w:bCs/>
          <w:color w:val="000000" w:themeColor="text1"/>
        </w:rPr>
        <w:lastRenderedPageBreak/>
        <w:t>Parágrafo 3. Tarifa Departamental.</w:t>
      </w:r>
      <w:bookmarkEnd w:id="3"/>
      <w:r w:rsidRPr="000E5087">
        <w:rPr>
          <w:rFonts w:ascii="Arial" w:hAnsi="Arial" w:cs="Arial"/>
          <w:color w:val="000000" w:themeColor="text1"/>
        </w:rPr>
        <w:t> La Asamblea Departamental, fijará la tarifa de la sobretasa a la gasolina motor extra o corriente aplicable en su jurisdicción, la cual no podrá s</w:t>
      </w:r>
      <w:r w:rsidR="00045EC9">
        <w:rPr>
          <w:rFonts w:ascii="Arial" w:hAnsi="Arial" w:cs="Arial"/>
          <w:color w:val="000000" w:themeColor="text1"/>
        </w:rPr>
        <w:t>er inferior al dos por ciento (2</w:t>
      </w:r>
      <w:r w:rsidRPr="000E5087">
        <w:rPr>
          <w:rFonts w:ascii="Arial" w:hAnsi="Arial" w:cs="Arial"/>
          <w:color w:val="000000" w:themeColor="text1"/>
        </w:rPr>
        <w:t>%) ni superior al tres por ciento (3%).</w:t>
      </w:r>
    </w:p>
    <w:p w:rsidR="00795548" w:rsidRPr="00197AF3" w:rsidRDefault="00795548" w:rsidP="00C31D20">
      <w:pPr>
        <w:pStyle w:val="NormalWeb"/>
        <w:spacing w:before="0" w:beforeAutospacing="0" w:after="0" w:afterAutospacing="0" w:line="254" w:lineRule="atLeast"/>
        <w:contextualSpacing/>
        <w:jc w:val="both"/>
        <w:rPr>
          <w:rFonts w:ascii="Arial" w:hAnsi="Arial" w:cs="Arial"/>
          <w:color w:val="000000"/>
        </w:rPr>
      </w:pPr>
      <w:r w:rsidRPr="00795548">
        <w:rPr>
          <w:rFonts w:ascii="Arial" w:hAnsi="Arial" w:cs="Arial"/>
          <w:b/>
        </w:rPr>
        <w:t>Parágrafo</w:t>
      </w:r>
      <w:r w:rsidR="00490E7F">
        <w:rPr>
          <w:rFonts w:ascii="Arial" w:hAnsi="Arial" w:cs="Arial"/>
          <w:b/>
        </w:rPr>
        <w:t xml:space="preserve"> </w:t>
      </w:r>
      <w:r w:rsidR="00F3792A">
        <w:rPr>
          <w:rFonts w:ascii="Arial" w:hAnsi="Arial" w:cs="Arial"/>
          <w:b/>
        </w:rPr>
        <w:t>4</w:t>
      </w:r>
      <w:r w:rsidRPr="00795548">
        <w:rPr>
          <w:rFonts w:ascii="Arial" w:hAnsi="Arial" w:cs="Arial"/>
          <w:b/>
        </w:rPr>
        <w:t xml:space="preserve">. </w:t>
      </w:r>
      <w:r w:rsidR="00490E7F">
        <w:rPr>
          <w:rFonts w:ascii="Arial" w:hAnsi="Arial" w:cs="Arial"/>
          <w:b/>
        </w:rPr>
        <w:t xml:space="preserve">Publicación. </w:t>
      </w:r>
      <w:r w:rsidRPr="00197AF3">
        <w:rPr>
          <w:rFonts w:ascii="Arial" w:hAnsi="Arial" w:cs="Arial"/>
          <w:color w:val="000000" w:themeColor="text1"/>
        </w:rPr>
        <w:t xml:space="preserve">Con el fin de establecer política clara y transparente a la estructura del precio de los combustibles, </w:t>
      </w:r>
      <w:r>
        <w:rPr>
          <w:rFonts w:ascii="Arial" w:hAnsi="Arial" w:cs="Arial"/>
          <w:color w:val="000000" w:themeColor="text1"/>
        </w:rPr>
        <w:t xml:space="preserve">será publicado, </w:t>
      </w:r>
      <w:r>
        <w:rPr>
          <w:rFonts w:ascii="Arial" w:hAnsi="Arial" w:cs="Arial"/>
          <w:color w:val="000000"/>
        </w:rPr>
        <w:t>en un término no mayor a siete (07</w:t>
      </w:r>
      <w:r w:rsidRPr="00197AF3">
        <w:rPr>
          <w:rFonts w:ascii="Arial" w:hAnsi="Arial" w:cs="Arial"/>
          <w:color w:val="000000"/>
        </w:rPr>
        <w:t xml:space="preserve">) días </w:t>
      </w:r>
      <w:r w:rsidR="00045EC9" w:rsidRPr="00197AF3">
        <w:rPr>
          <w:rFonts w:ascii="Arial" w:hAnsi="Arial" w:cs="Arial"/>
          <w:color w:val="000000"/>
        </w:rPr>
        <w:t>calendario posterior</w:t>
      </w:r>
      <w:r w:rsidRPr="00197AF3">
        <w:rPr>
          <w:rFonts w:ascii="Arial" w:hAnsi="Arial" w:cs="Arial"/>
          <w:color w:val="000000"/>
        </w:rPr>
        <w:t xml:space="preserve"> a</w:t>
      </w:r>
      <w:r w:rsidR="00045EC9">
        <w:rPr>
          <w:rFonts w:ascii="Arial" w:hAnsi="Arial" w:cs="Arial"/>
          <w:color w:val="000000"/>
        </w:rPr>
        <w:t xml:space="preserve"> </w:t>
      </w:r>
      <w:r w:rsidRPr="00197AF3">
        <w:rPr>
          <w:rFonts w:ascii="Arial" w:hAnsi="Arial" w:cs="Arial"/>
          <w:color w:val="000000"/>
        </w:rPr>
        <w:t>l</w:t>
      </w:r>
      <w:r w:rsidR="00045EC9">
        <w:rPr>
          <w:rFonts w:ascii="Arial" w:hAnsi="Arial" w:cs="Arial"/>
          <w:color w:val="000000"/>
        </w:rPr>
        <w:t>a</w:t>
      </w:r>
      <w:r w:rsidRPr="00197AF3">
        <w:rPr>
          <w:rFonts w:ascii="Arial" w:hAnsi="Arial" w:cs="Arial"/>
          <w:color w:val="000000"/>
        </w:rPr>
        <w:t xml:space="preserve"> </w:t>
      </w:r>
      <w:r w:rsidR="00045EC9">
        <w:rPr>
          <w:rFonts w:ascii="Arial" w:hAnsi="Arial" w:cs="Arial"/>
          <w:color w:val="000000"/>
        </w:rPr>
        <w:t xml:space="preserve">metodología de cálculo del </w:t>
      </w:r>
      <w:r>
        <w:rPr>
          <w:rFonts w:ascii="Arial" w:hAnsi="Arial" w:cs="Arial"/>
          <w:color w:val="000000"/>
        </w:rPr>
        <w:t xml:space="preserve">artículo 4. </w:t>
      </w:r>
    </w:p>
    <w:p w:rsidR="00795548" w:rsidRDefault="00795548" w:rsidP="00C31D20">
      <w:pPr>
        <w:shd w:val="clear" w:color="auto" w:fill="FFFFFF"/>
        <w:contextualSpacing/>
        <w:jc w:val="both"/>
        <w:rPr>
          <w:rFonts w:ascii="Arial" w:hAnsi="Arial" w:cs="Arial"/>
          <w:b/>
        </w:rPr>
      </w:pPr>
    </w:p>
    <w:p w:rsidR="006B0364" w:rsidRPr="00197AF3" w:rsidRDefault="006B0364" w:rsidP="00C31D20">
      <w:pPr>
        <w:shd w:val="clear" w:color="auto" w:fill="FFFFFF"/>
        <w:contextualSpacing/>
        <w:jc w:val="center"/>
        <w:rPr>
          <w:rFonts w:ascii="Arial" w:eastAsia="Arial" w:hAnsi="Arial" w:cs="Arial"/>
          <w:b/>
          <w:bCs/>
          <w:color w:val="000000" w:themeColor="text1"/>
        </w:rPr>
      </w:pPr>
      <w:r w:rsidRPr="00197AF3">
        <w:rPr>
          <w:rFonts w:ascii="Arial" w:eastAsia="Arial" w:hAnsi="Arial" w:cs="Arial"/>
          <w:b/>
          <w:bCs/>
          <w:color w:val="000000" w:themeColor="text1"/>
        </w:rPr>
        <w:t>CAPITULO II</w:t>
      </w:r>
    </w:p>
    <w:p w:rsidR="006B0364" w:rsidRPr="005B3AB0" w:rsidRDefault="006B0364" w:rsidP="00C31D20">
      <w:pPr>
        <w:shd w:val="clear" w:color="auto" w:fill="FFFFFF"/>
        <w:contextualSpacing/>
        <w:jc w:val="center"/>
        <w:rPr>
          <w:rFonts w:ascii="Arial" w:hAnsi="Arial" w:cs="Arial"/>
          <w:b/>
          <w:bCs/>
          <w:color w:val="000000"/>
        </w:rPr>
      </w:pPr>
      <w:r w:rsidRPr="00197AF3">
        <w:rPr>
          <w:rFonts w:ascii="Arial" w:hAnsi="Arial" w:cs="Arial"/>
          <w:b/>
          <w:bCs/>
          <w:color w:val="000000"/>
        </w:rPr>
        <w:t>FONDO DE ESTABILIZACIÓN PRECIOS DE LOS COMBUSTIBLES</w:t>
      </w:r>
    </w:p>
    <w:p w:rsidR="00F31CCC" w:rsidRPr="00197AF3" w:rsidRDefault="00F31CCC" w:rsidP="00C31D20">
      <w:pPr>
        <w:contextualSpacing/>
        <w:jc w:val="both"/>
        <w:rPr>
          <w:rFonts w:ascii="Arial" w:hAnsi="Arial" w:cs="Arial"/>
          <w:color w:val="000000" w:themeColor="text1"/>
        </w:rPr>
      </w:pPr>
    </w:p>
    <w:p w:rsidR="0040140C" w:rsidRPr="00197AF3" w:rsidRDefault="00776CC7" w:rsidP="00C31D20">
      <w:pPr>
        <w:pStyle w:val="parrafo-division"/>
        <w:spacing w:before="0" w:beforeAutospacing="0" w:after="0" w:afterAutospacing="0" w:line="293" w:lineRule="atLeast"/>
        <w:contextualSpacing/>
        <w:jc w:val="both"/>
        <w:rPr>
          <w:rFonts w:ascii="Arial" w:hAnsi="Arial" w:cs="Arial"/>
          <w:color w:val="000000"/>
        </w:rPr>
      </w:pPr>
      <w:r w:rsidRPr="006261F6">
        <w:rPr>
          <w:rFonts w:ascii="Arial" w:eastAsia="Arial" w:hAnsi="Arial" w:cs="Arial"/>
          <w:b/>
          <w:color w:val="000000" w:themeColor="text1"/>
        </w:rPr>
        <w:t xml:space="preserve">Artículo </w:t>
      </w:r>
      <w:r w:rsidR="00D530B6" w:rsidRPr="006261F6">
        <w:rPr>
          <w:rFonts w:ascii="Arial" w:eastAsia="Arial" w:hAnsi="Arial" w:cs="Arial"/>
          <w:b/>
          <w:color w:val="000000" w:themeColor="text1"/>
        </w:rPr>
        <w:t>6</w:t>
      </w:r>
      <w:r w:rsidRPr="006261F6">
        <w:rPr>
          <w:rFonts w:ascii="Arial" w:eastAsia="Arial" w:hAnsi="Arial" w:cs="Arial"/>
          <w:b/>
          <w:color w:val="000000" w:themeColor="text1"/>
        </w:rPr>
        <w:t>º.</w:t>
      </w:r>
      <w:r w:rsidR="006261F6">
        <w:rPr>
          <w:rFonts w:ascii="Arial" w:eastAsia="Arial" w:hAnsi="Arial" w:cs="Arial"/>
          <w:b/>
          <w:color w:val="000000" w:themeColor="text1"/>
        </w:rPr>
        <w:t xml:space="preserve"> </w:t>
      </w:r>
      <w:r w:rsidR="00C540B7" w:rsidRPr="006261F6">
        <w:rPr>
          <w:rFonts w:ascii="Arial" w:hAnsi="Arial" w:cs="Arial"/>
          <w:b/>
          <w:bCs/>
          <w:color w:val="000000"/>
        </w:rPr>
        <w:t>Fondo</w:t>
      </w:r>
      <w:r w:rsidR="00C540B7" w:rsidRPr="00197AF3">
        <w:rPr>
          <w:rFonts w:ascii="Arial" w:hAnsi="Arial" w:cs="Arial"/>
          <w:b/>
          <w:bCs/>
          <w:color w:val="000000"/>
        </w:rPr>
        <w:t xml:space="preserve"> De Estabilización De Precios De Los Combustibles</w:t>
      </w:r>
      <w:r w:rsidR="007779FC" w:rsidRPr="00197AF3">
        <w:rPr>
          <w:rFonts w:ascii="Arial" w:hAnsi="Arial" w:cs="Arial"/>
          <w:b/>
          <w:bCs/>
          <w:color w:val="000000"/>
        </w:rPr>
        <w:t xml:space="preserve">: </w:t>
      </w:r>
      <w:bookmarkStart w:id="4" w:name="ver_30177553"/>
      <w:bookmarkStart w:id="5" w:name="ver_30056899"/>
      <w:bookmarkEnd w:id="4"/>
      <w:bookmarkEnd w:id="5"/>
      <w:r w:rsidR="0040140C" w:rsidRPr="00197AF3">
        <w:rPr>
          <w:rFonts w:ascii="Arial" w:hAnsi="Arial" w:cs="Arial"/>
          <w:color w:val="000000"/>
        </w:rPr>
        <w:t>Para los efectos del funcionamiento y operatividad del Fondo de Estabilización de Precios de los Combustibles, en adelante FEPC, creado mediante el artículo 69 de la Ley 1151 de 2007, se establecen l</w:t>
      </w:r>
      <w:r w:rsidR="002D432E">
        <w:rPr>
          <w:rFonts w:ascii="Arial" w:hAnsi="Arial" w:cs="Arial"/>
          <w:color w:val="000000"/>
        </w:rPr>
        <w:t>os siguie</w:t>
      </w:r>
      <w:r w:rsidR="006261F6">
        <w:rPr>
          <w:rFonts w:ascii="Arial" w:hAnsi="Arial" w:cs="Arial"/>
          <w:color w:val="000000"/>
        </w:rPr>
        <w:t xml:space="preserve">ntes </w:t>
      </w:r>
      <w:r w:rsidR="002D432E">
        <w:rPr>
          <w:rFonts w:ascii="Arial" w:hAnsi="Arial" w:cs="Arial"/>
          <w:color w:val="000000"/>
        </w:rPr>
        <w:t>artículos</w:t>
      </w:r>
      <w:r w:rsidR="0040140C" w:rsidRPr="00197AF3">
        <w:rPr>
          <w:rFonts w:ascii="Arial" w:hAnsi="Arial" w:cs="Arial"/>
          <w:color w:val="000000"/>
        </w:rPr>
        <w:t>: </w:t>
      </w:r>
    </w:p>
    <w:p w:rsidR="007779FC" w:rsidRPr="00197AF3" w:rsidRDefault="007779FC" w:rsidP="00C31D20">
      <w:pPr>
        <w:spacing w:line="254" w:lineRule="atLeast"/>
        <w:contextualSpacing/>
        <w:jc w:val="both"/>
        <w:rPr>
          <w:rFonts w:ascii="Arial" w:hAnsi="Arial" w:cs="Arial"/>
          <w:color w:val="000000"/>
        </w:rPr>
      </w:pPr>
    </w:p>
    <w:p w:rsidR="007779FC" w:rsidRPr="00197AF3" w:rsidRDefault="007779FC" w:rsidP="00C31D20">
      <w:pPr>
        <w:spacing w:line="254" w:lineRule="atLeast"/>
        <w:contextualSpacing/>
        <w:jc w:val="both"/>
        <w:rPr>
          <w:rFonts w:ascii="Arial" w:hAnsi="Arial" w:cs="Arial"/>
          <w:color w:val="000000"/>
        </w:rPr>
      </w:pPr>
      <w:r w:rsidRPr="00197AF3">
        <w:rPr>
          <w:rFonts w:ascii="Arial" w:hAnsi="Arial" w:cs="Arial"/>
          <w:b/>
          <w:bCs/>
          <w:color w:val="000000"/>
        </w:rPr>
        <w:t>Artículo 6.1</w:t>
      </w:r>
      <w:r w:rsidRPr="00197AF3">
        <w:rPr>
          <w:rFonts w:ascii="Arial" w:eastAsia="Arial" w:hAnsi="Arial" w:cs="Arial"/>
          <w:b/>
          <w:color w:val="000000" w:themeColor="text1"/>
        </w:rPr>
        <w:t xml:space="preserve"> º</w:t>
      </w:r>
      <w:r w:rsidRPr="00197AF3">
        <w:rPr>
          <w:rFonts w:ascii="Arial" w:hAnsi="Arial" w:cs="Arial"/>
          <w:b/>
          <w:bCs/>
          <w:color w:val="000000"/>
        </w:rPr>
        <w:t>. Recursos del FEPC.</w:t>
      </w:r>
      <w:r w:rsidRPr="00197AF3">
        <w:rPr>
          <w:rFonts w:ascii="Arial" w:hAnsi="Arial" w:cs="Arial"/>
          <w:color w:val="000000"/>
        </w:rPr>
        <w:t> Los recursos necesarios para el funcionamiento del FEPC provendrán de las siguientes fuentes: </w:t>
      </w:r>
    </w:p>
    <w:p w:rsidR="007779FC" w:rsidRPr="00197AF3" w:rsidRDefault="007779FC" w:rsidP="00C31D20">
      <w:pPr>
        <w:spacing w:line="254" w:lineRule="atLeast"/>
        <w:contextualSpacing/>
        <w:jc w:val="both"/>
        <w:rPr>
          <w:rFonts w:ascii="Arial" w:hAnsi="Arial" w:cs="Arial"/>
          <w:color w:val="000000"/>
        </w:rPr>
      </w:pPr>
      <w:r w:rsidRPr="00197AF3">
        <w:rPr>
          <w:rFonts w:ascii="Arial" w:hAnsi="Arial" w:cs="Arial"/>
          <w:color w:val="000000"/>
        </w:rPr>
        <w:t>  </w:t>
      </w:r>
    </w:p>
    <w:p w:rsidR="007779FC" w:rsidRPr="00197AF3" w:rsidRDefault="007779FC" w:rsidP="00C31D20">
      <w:pPr>
        <w:spacing w:line="254" w:lineRule="atLeast"/>
        <w:contextualSpacing/>
        <w:jc w:val="both"/>
        <w:rPr>
          <w:rFonts w:ascii="Arial" w:hAnsi="Arial" w:cs="Arial"/>
          <w:color w:val="000000"/>
        </w:rPr>
      </w:pPr>
      <w:r w:rsidRPr="00197AF3">
        <w:rPr>
          <w:rFonts w:ascii="Arial" w:hAnsi="Arial" w:cs="Arial"/>
          <w:color w:val="000000"/>
        </w:rPr>
        <w:t>a) Los rendimientos de los recursos que conformen el Fondo;   </w:t>
      </w:r>
    </w:p>
    <w:p w:rsidR="007779FC" w:rsidRPr="00197AF3" w:rsidRDefault="007779FC" w:rsidP="00C31D20">
      <w:pPr>
        <w:spacing w:line="254" w:lineRule="atLeast"/>
        <w:contextualSpacing/>
        <w:jc w:val="both"/>
        <w:rPr>
          <w:rFonts w:ascii="Arial" w:hAnsi="Arial" w:cs="Arial"/>
          <w:color w:val="000000"/>
        </w:rPr>
      </w:pPr>
      <w:r w:rsidRPr="00197AF3">
        <w:rPr>
          <w:rFonts w:ascii="Arial" w:hAnsi="Arial" w:cs="Arial"/>
          <w:color w:val="000000"/>
        </w:rPr>
        <w:t>b) Los recursos de crédito que de manera extraordinaria reciba del Tesoro;   </w:t>
      </w:r>
    </w:p>
    <w:p w:rsidR="007779FC" w:rsidRPr="00197AF3" w:rsidRDefault="007779FC" w:rsidP="00C31D20">
      <w:pPr>
        <w:spacing w:line="254" w:lineRule="atLeast"/>
        <w:contextualSpacing/>
        <w:jc w:val="both"/>
        <w:rPr>
          <w:rFonts w:ascii="Arial" w:hAnsi="Arial" w:cs="Arial"/>
          <w:color w:val="000000"/>
        </w:rPr>
      </w:pPr>
      <w:r w:rsidRPr="00197AF3">
        <w:rPr>
          <w:rFonts w:ascii="Arial" w:hAnsi="Arial" w:cs="Arial"/>
          <w:color w:val="000000"/>
        </w:rPr>
        <w:t>c) Los recursos del Presupuesto General de la Nación a favor del Fondo;   </w:t>
      </w:r>
    </w:p>
    <w:p w:rsidR="007779FC" w:rsidRPr="00197AF3" w:rsidRDefault="007779FC" w:rsidP="00C31D20">
      <w:pPr>
        <w:spacing w:line="254" w:lineRule="atLeast"/>
        <w:contextualSpacing/>
        <w:jc w:val="both"/>
        <w:rPr>
          <w:rFonts w:ascii="Arial" w:hAnsi="Arial" w:cs="Arial"/>
          <w:color w:val="000000"/>
        </w:rPr>
      </w:pPr>
      <w:r w:rsidRPr="00197AF3">
        <w:rPr>
          <w:rFonts w:ascii="Arial" w:hAnsi="Arial" w:cs="Arial"/>
          <w:color w:val="000000"/>
        </w:rPr>
        <w:t>d) La contribución parafiscal al combustible;   </w:t>
      </w:r>
    </w:p>
    <w:p w:rsidR="007779FC" w:rsidRPr="00197AF3" w:rsidRDefault="007779FC" w:rsidP="00C31D20">
      <w:pPr>
        <w:spacing w:line="254" w:lineRule="atLeast"/>
        <w:contextualSpacing/>
        <w:jc w:val="both"/>
        <w:rPr>
          <w:rFonts w:ascii="Arial" w:hAnsi="Arial" w:cs="Arial"/>
          <w:color w:val="000000"/>
        </w:rPr>
      </w:pPr>
      <w:r w:rsidRPr="00197AF3">
        <w:rPr>
          <w:rFonts w:ascii="Arial" w:hAnsi="Arial" w:cs="Arial"/>
          <w:color w:val="000000"/>
        </w:rPr>
        <w:t>e) Bonos u otros títulos de deuda pública que emita la Nación a favor del FEPC, con el fin de cubrir las obligaciones a cargo del Fondo. </w:t>
      </w:r>
    </w:p>
    <w:p w:rsidR="007779FC" w:rsidRPr="00197AF3" w:rsidRDefault="007779FC" w:rsidP="00C31D20">
      <w:pPr>
        <w:spacing w:line="254" w:lineRule="atLeast"/>
        <w:contextualSpacing/>
        <w:jc w:val="both"/>
        <w:rPr>
          <w:rFonts w:ascii="Arial" w:hAnsi="Arial" w:cs="Arial"/>
          <w:color w:val="000000"/>
        </w:rPr>
      </w:pPr>
      <w:r w:rsidRPr="00197AF3">
        <w:rPr>
          <w:rFonts w:ascii="Arial" w:hAnsi="Arial" w:cs="Arial"/>
          <w:color w:val="000000"/>
        </w:rPr>
        <w:t>  </w:t>
      </w:r>
    </w:p>
    <w:p w:rsidR="007779FC" w:rsidRPr="00197AF3" w:rsidRDefault="007779FC" w:rsidP="00C31D20">
      <w:pPr>
        <w:spacing w:line="254" w:lineRule="atLeast"/>
        <w:contextualSpacing/>
        <w:jc w:val="both"/>
        <w:rPr>
          <w:rFonts w:ascii="Arial" w:hAnsi="Arial" w:cs="Arial"/>
          <w:color w:val="000000"/>
        </w:rPr>
      </w:pPr>
      <w:r w:rsidRPr="00197AF3">
        <w:rPr>
          <w:rFonts w:ascii="Arial" w:hAnsi="Arial" w:cs="Arial"/>
          <w:b/>
          <w:bCs/>
          <w:color w:val="000000"/>
        </w:rPr>
        <w:t>Parágrafo.</w:t>
      </w:r>
      <w:r w:rsidRPr="00197AF3">
        <w:rPr>
          <w:rFonts w:ascii="Arial" w:hAnsi="Arial" w:cs="Arial"/>
          <w:color w:val="000000"/>
        </w:rPr>
        <w:t> Los saldos adeudados por el FEPC en virtud de los créditos extraordinarios que otorgue el Tesoro General de la Nación se podrán incorporar en el Presupuesto General de la Nación como créditos presupuestales, de acuerdo con lo establecido en el parágrafo 3° del artículo 218 de la Ley 1819 de 2016. </w:t>
      </w:r>
    </w:p>
    <w:p w:rsidR="007779FC" w:rsidRPr="00197AF3" w:rsidRDefault="007779FC" w:rsidP="00C31D20">
      <w:pPr>
        <w:spacing w:line="254" w:lineRule="atLeast"/>
        <w:contextualSpacing/>
        <w:jc w:val="both"/>
        <w:rPr>
          <w:rFonts w:ascii="Arial" w:hAnsi="Arial" w:cs="Arial"/>
          <w:color w:val="000000"/>
        </w:rPr>
      </w:pPr>
    </w:p>
    <w:p w:rsidR="007779FC" w:rsidRPr="00197AF3" w:rsidRDefault="007779FC" w:rsidP="00C31D20">
      <w:pPr>
        <w:pStyle w:val="NormalWeb"/>
        <w:spacing w:before="0" w:beforeAutospacing="0" w:after="0" w:afterAutospacing="0" w:line="254" w:lineRule="atLeast"/>
        <w:contextualSpacing/>
        <w:jc w:val="both"/>
        <w:rPr>
          <w:rFonts w:ascii="Arial" w:hAnsi="Arial" w:cs="Arial"/>
          <w:color w:val="000000"/>
        </w:rPr>
      </w:pPr>
      <w:r w:rsidRPr="00197AF3">
        <w:rPr>
          <w:rFonts w:ascii="Arial" w:hAnsi="Arial" w:cs="Arial"/>
          <w:b/>
          <w:bCs/>
          <w:color w:val="000000"/>
        </w:rPr>
        <w:t>Artículo 6.2</w:t>
      </w:r>
      <w:r w:rsidRPr="00197AF3">
        <w:rPr>
          <w:rFonts w:ascii="Arial" w:eastAsia="Arial" w:hAnsi="Arial" w:cs="Arial"/>
          <w:b/>
          <w:color w:val="000000" w:themeColor="text1"/>
        </w:rPr>
        <w:t>º</w:t>
      </w:r>
      <w:r w:rsidRPr="00197AF3">
        <w:rPr>
          <w:rFonts w:ascii="Arial" w:hAnsi="Arial" w:cs="Arial"/>
          <w:b/>
          <w:bCs/>
          <w:color w:val="000000"/>
        </w:rPr>
        <w:t xml:space="preserve">. </w:t>
      </w:r>
      <w:r w:rsidRPr="00197AF3">
        <w:rPr>
          <w:rStyle w:val="Textoennegrita"/>
          <w:rFonts w:ascii="Arial" w:hAnsi="Arial" w:cs="Arial"/>
          <w:color w:val="000000"/>
        </w:rPr>
        <w:t xml:space="preserve">Reporte ante </w:t>
      </w:r>
      <w:r w:rsidR="00795548" w:rsidRPr="00197AF3">
        <w:rPr>
          <w:rStyle w:val="Textoennegrita"/>
          <w:rFonts w:ascii="Arial" w:hAnsi="Arial" w:cs="Arial"/>
          <w:color w:val="000000"/>
        </w:rPr>
        <w:t>la</w:t>
      </w:r>
      <w:r w:rsidRPr="00197AF3">
        <w:rPr>
          <w:rStyle w:val="Textoennegrita"/>
          <w:rFonts w:ascii="Arial" w:hAnsi="Arial" w:cs="Arial"/>
          <w:color w:val="000000"/>
        </w:rPr>
        <w:t xml:space="preserve"> </w:t>
      </w:r>
      <w:r w:rsidR="00D6779D" w:rsidRPr="00197AF3">
        <w:rPr>
          <w:rStyle w:val="Textoennegrita"/>
          <w:rFonts w:ascii="Arial" w:hAnsi="Arial" w:cs="Arial"/>
          <w:color w:val="000000"/>
        </w:rPr>
        <w:t xml:space="preserve">Dirección de Hidrocarburos </w:t>
      </w:r>
      <w:r w:rsidR="00D6779D">
        <w:rPr>
          <w:rStyle w:val="Textoennegrita"/>
          <w:rFonts w:ascii="Arial" w:hAnsi="Arial" w:cs="Arial"/>
          <w:color w:val="000000"/>
        </w:rPr>
        <w:t>-</w:t>
      </w:r>
      <w:r w:rsidRPr="00197AF3">
        <w:rPr>
          <w:rStyle w:val="Textoennegrita"/>
          <w:rFonts w:ascii="Arial" w:hAnsi="Arial" w:cs="Arial"/>
          <w:color w:val="000000"/>
        </w:rPr>
        <w:t>Ministerio de Minas y Energía</w:t>
      </w:r>
      <w:r w:rsidR="0016232E" w:rsidRPr="00197AF3">
        <w:rPr>
          <w:rStyle w:val="Textoennegrita"/>
          <w:rFonts w:ascii="Arial" w:hAnsi="Arial" w:cs="Arial"/>
          <w:color w:val="000000"/>
        </w:rPr>
        <w:t xml:space="preserve">, </w:t>
      </w:r>
      <w:r w:rsidR="00D6779D" w:rsidRPr="00197AF3">
        <w:rPr>
          <w:rStyle w:val="Textoennegrita"/>
          <w:rFonts w:ascii="Arial" w:hAnsi="Arial" w:cs="Arial"/>
          <w:color w:val="000000"/>
        </w:rPr>
        <w:t>Ministerio de Hacienda y Crédito Público</w:t>
      </w:r>
      <w:r w:rsidR="00D6779D">
        <w:rPr>
          <w:rStyle w:val="Textoennegrita"/>
          <w:rFonts w:ascii="Arial" w:hAnsi="Arial" w:cs="Arial"/>
          <w:color w:val="000000"/>
        </w:rPr>
        <w:t xml:space="preserve"> y </w:t>
      </w:r>
      <w:r w:rsidR="002D432E">
        <w:rPr>
          <w:rStyle w:val="Textoennegrita"/>
          <w:rFonts w:ascii="Arial" w:hAnsi="Arial" w:cs="Arial"/>
          <w:color w:val="000000"/>
        </w:rPr>
        <w:t>el</w:t>
      </w:r>
      <w:r w:rsidR="002D432E" w:rsidRPr="002D432E">
        <w:rPr>
          <w:rStyle w:val="Textoennegrita"/>
          <w:rFonts w:ascii="Arial" w:hAnsi="Arial" w:cs="Arial"/>
          <w:color w:val="000000"/>
        </w:rPr>
        <w:t xml:space="preserve"> </w:t>
      </w:r>
      <w:r w:rsidR="002D432E" w:rsidRPr="002D432E">
        <w:rPr>
          <w:rFonts w:ascii="Arial" w:hAnsi="Arial" w:cs="Arial"/>
          <w:b/>
          <w:color w:val="000000" w:themeColor="text1"/>
        </w:rPr>
        <w:t>Observatorio de Control y Vigilancia de las Finanzas y las Políticas Públicas</w:t>
      </w:r>
      <w:r w:rsidR="002D432E" w:rsidRPr="002D432E">
        <w:rPr>
          <w:rFonts w:ascii="Arial" w:hAnsi="Arial" w:cs="Arial"/>
          <w:b/>
          <w:bCs/>
          <w:color w:val="000000" w:themeColor="text1"/>
        </w:rPr>
        <w:t xml:space="preserve"> - </w:t>
      </w:r>
      <w:r w:rsidR="002D432E" w:rsidRPr="002D432E">
        <w:rPr>
          <w:rFonts w:ascii="Arial" w:hAnsi="Arial" w:cs="Arial"/>
          <w:b/>
          <w:color w:val="000000" w:themeColor="text1"/>
          <w:shd w:val="clear" w:color="auto" w:fill="FFFFFF"/>
        </w:rPr>
        <w:t>Contraloría General de la República</w:t>
      </w:r>
      <w:r w:rsidRPr="00197AF3">
        <w:rPr>
          <w:rStyle w:val="Textoennegrita"/>
          <w:rFonts w:ascii="Arial" w:hAnsi="Arial" w:cs="Arial"/>
          <w:color w:val="000000"/>
        </w:rPr>
        <w:t>.</w:t>
      </w:r>
      <w:r w:rsidRPr="00197AF3">
        <w:rPr>
          <w:rFonts w:ascii="Arial" w:hAnsi="Arial" w:cs="Arial"/>
          <w:color w:val="000000"/>
        </w:rPr>
        <w:t> Los refinadores y/o importadores deberán reportar a la Dirección de Hidrocarburos del Ministerio de Minas y Energía</w:t>
      </w:r>
      <w:r w:rsidR="0016232E" w:rsidRPr="00197AF3">
        <w:rPr>
          <w:rFonts w:ascii="Arial" w:hAnsi="Arial" w:cs="Arial"/>
          <w:color w:val="000000"/>
        </w:rPr>
        <w:t xml:space="preserve">, </w:t>
      </w:r>
      <w:r w:rsidR="0016232E" w:rsidRPr="006261F6">
        <w:rPr>
          <w:rStyle w:val="Textoennegrita"/>
          <w:rFonts w:ascii="Arial" w:hAnsi="Arial" w:cs="Arial"/>
          <w:b w:val="0"/>
          <w:bCs w:val="0"/>
          <w:color w:val="000000"/>
        </w:rPr>
        <w:t>Ministerio de Hacienda y Credito Publico</w:t>
      </w:r>
      <w:r w:rsidR="0016232E" w:rsidRPr="00197AF3">
        <w:rPr>
          <w:rFonts w:ascii="Arial" w:hAnsi="Arial" w:cs="Arial"/>
          <w:color w:val="000000"/>
        </w:rPr>
        <w:t xml:space="preserve"> </w:t>
      </w:r>
      <w:r w:rsidRPr="00197AF3">
        <w:rPr>
          <w:rFonts w:ascii="Arial" w:hAnsi="Arial" w:cs="Arial"/>
          <w:color w:val="000000"/>
        </w:rPr>
        <w:t xml:space="preserve">y al </w:t>
      </w:r>
      <w:r w:rsidRPr="00197AF3">
        <w:rPr>
          <w:rFonts w:ascii="Arial" w:hAnsi="Arial" w:cs="Arial"/>
          <w:color w:val="000000" w:themeColor="text1"/>
        </w:rPr>
        <w:t>Observatorio de Control y Vigilancia de las Finanzas y las Políticas Públicas</w:t>
      </w:r>
      <w:r w:rsidRPr="00197AF3">
        <w:rPr>
          <w:rFonts w:ascii="Arial" w:hAnsi="Arial" w:cs="Arial"/>
          <w:b/>
          <w:bCs/>
          <w:color w:val="000000" w:themeColor="text1"/>
        </w:rPr>
        <w:t xml:space="preserve"> - </w:t>
      </w:r>
      <w:r w:rsidRPr="00197AF3">
        <w:rPr>
          <w:rFonts w:ascii="Arial" w:hAnsi="Arial" w:cs="Arial"/>
          <w:color w:val="000000" w:themeColor="text1"/>
          <w:shd w:val="clear" w:color="auto" w:fill="FFFFFF"/>
        </w:rPr>
        <w:t>Contraloría General de la República</w:t>
      </w:r>
      <w:r w:rsidRPr="00197AF3">
        <w:rPr>
          <w:rFonts w:ascii="Arial" w:hAnsi="Arial" w:cs="Arial"/>
          <w:color w:val="000000"/>
        </w:rPr>
        <w:t xml:space="preserve">, las </w:t>
      </w:r>
      <w:r w:rsidR="00D6779D">
        <w:rPr>
          <w:rFonts w:ascii="Arial" w:hAnsi="Arial" w:cs="Arial"/>
          <w:color w:val="000000"/>
        </w:rPr>
        <w:t>cantidades de gasolina motor</w:t>
      </w:r>
      <w:r w:rsidRPr="00197AF3">
        <w:rPr>
          <w:rFonts w:ascii="Arial" w:hAnsi="Arial" w:cs="Arial"/>
          <w:color w:val="000000"/>
        </w:rPr>
        <w:t xml:space="preserve"> y ACPM, que fueron vendidas en el mes, dentro de </w:t>
      </w:r>
      <w:r w:rsidRPr="00197AF3">
        <w:rPr>
          <w:rFonts w:ascii="Arial" w:hAnsi="Arial" w:cs="Arial"/>
          <w:color w:val="000000"/>
        </w:rPr>
        <w:lastRenderedPageBreak/>
        <w:t>los siguientes treinta y cinco (35) días calendario a dicho mes de realización de las operaciones, incluyendo el ACPM proveniente de la degradación del JET A-1, así como el combustible de origen importado que fue distribuido posteriormente para atender la demanda nacional. </w:t>
      </w:r>
    </w:p>
    <w:p w:rsidR="007779FC" w:rsidRPr="00197AF3" w:rsidRDefault="007779FC" w:rsidP="00C31D20">
      <w:pPr>
        <w:pStyle w:val="NormalWeb"/>
        <w:spacing w:before="0" w:beforeAutospacing="0" w:after="0" w:afterAutospacing="0" w:line="254" w:lineRule="atLeast"/>
        <w:contextualSpacing/>
        <w:jc w:val="both"/>
        <w:rPr>
          <w:rFonts w:ascii="Arial" w:hAnsi="Arial" w:cs="Arial"/>
          <w:color w:val="000000"/>
        </w:rPr>
      </w:pPr>
      <w:r w:rsidRPr="00197AF3">
        <w:rPr>
          <w:rFonts w:ascii="Arial" w:hAnsi="Arial" w:cs="Arial"/>
          <w:color w:val="000000"/>
        </w:rPr>
        <w:t>  </w:t>
      </w:r>
    </w:p>
    <w:p w:rsidR="007779FC" w:rsidRPr="00197AF3" w:rsidRDefault="007779FC" w:rsidP="00C31D20">
      <w:pPr>
        <w:pStyle w:val="NormalWeb"/>
        <w:spacing w:before="0" w:beforeAutospacing="0" w:after="0" w:afterAutospacing="0" w:line="254" w:lineRule="atLeast"/>
        <w:contextualSpacing/>
        <w:jc w:val="both"/>
        <w:rPr>
          <w:rFonts w:ascii="Arial" w:hAnsi="Arial" w:cs="Arial"/>
          <w:color w:val="000000"/>
        </w:rPr>
      </w:pPr>
      <w:r w:rsidRPr="00197AF3">
        <w:rPr>
          <w:rFonts w:ascii="Arial" w:hAnsi="Arial" w:cs="Arial"/>
          <w:color w:val="000000"/>
        </w:rPr>
        <w:t>Dichos reportes deberán contener la información correspondiente a cada operación de comercialización de combustible, considerando además un resumen de dichas operaciones y deberán ser suscritos por la persona natural registrada o por el representante legal de la persona jurídica. El informe contendrá al menos, la discriminación de los volúmenes de producto vendidos, indicando si su origen es nacional o importado o su respectiva proporción según corresponda. Así mismo, se debe incluir la indicación de la fecha de causación de la operación, y la indicación del tipo de reconocimiento y/o subsidio al que dicha transacción aplica, según sea el caso. En el eve</w:t>
      </w:r>
      <w:r w:rsidR="00D6779D">
        <w:rPr>
          <w:rFonts w:ascii="Arial" w:hAnsi="Arial" w:cs="Arial"/>
          <w:color w:val="000000"/>
        </w:rPr>
        <w:t>nto en que la gasolina motor</w:t>
      </w:r>
      <w:r w:rsidRPr="00197AF3">
        <w:rPr>
          <w:rFonts w:ascii="Arial" w:hAnsi="Arial" w:cs="Arial"/>
          <w:color w:val="000000"/>
        </w:rPr>
        <w:t xml:space="preserve"> o el ACPM, sean de origen nacional, es necesario informar la refinería de la cual provienen. </w:t>
      </w:r>
    </w:p>
    <w:p w:rsidR="007779FC" w:rsidRPr="00197AF3" w:rsidRDefault="007779FC" w:rsidP="00C31D20">
      <w:pPr>
        <w:pStyle w:val="NormalWeb"/>
        <w:spacing w:before="0" w:beforeAutospacing="0" w:after="0" w:afterAutospacing="0" w:line="254" w:lineRule="atLeast"/>
        <w:contextualSpacing/>
        <w:jc w:val="both"/>
        <w:rPr>
          <w:rFonts w:ascii="Arial" w:hAnsi="Arial" w:cs="Arial"/>
          <w:color w:val="000000"/>
        </w:rPr>
      </w:pPr>
      <w:r w:rsidRPr="00197AF3">
        <w:rPr>
          <w:rFonts w:ascii="Arial" w:hAnsi="Arial" w:cs="Arial"/>
          <w:color w:val="000000"/>
        </w:rPr>
        <w:t>  </w:t>
      </w:r>
    </w:p>
    <w:p w:rsidR="007779FC" w:rsidRPr="00197AF3" w:rsidRDefault="007779FC" w:rsidP="00C31D20">
      <w:pPr>
        <w:pStyle w:val="NormalWeb"/>
        <w:spacing w:before="0" w:beforeAutospacing="0" w:after="0" w:afterAutospacing="0" w:line="254" w:lineRule="atLeast"/>
        <w:contextualSpacing/>
        <w:jc w:val="both"/>
        <w:rPr>
          <w:rFonts w:ascii="Arial" w:hAnsi="Arial" w:cs="Arial"/>
          <w:color w:val="000000"/>
        </w:rPr>
      </w:pPr>
      <w:r w:rsidRPr="00197AF3">
        <w:rPr>
          <w:rFonts w:ascii="Arial" w:hAnsi="Arial" w:cs="Arial"/>
          <w:color w:val="000000"/>
        </w:rPr>
        <w:t>Para el combustible de origen importado o de origen nacional, que sea sujeto de operaciones de movilización y/o internación, los refinadores y/o importadores deberán reportar a la Dirección de Hidrocarburos de ese Ministerio</w:t>
      </w:r>
      <w:r w:rsidR="00D6779D">
        <w:rPr>
          <w:rFonts w:ascii="Arial" w:hAnsi="Arial" w:cs="Arial"/>
          <w:color w:val="000000"/>
        </w:rPr>
        <w:t xml:space="preserve"> con copia al </w:t>
      </w:r>
      <w:r w:rsidR="00D6779D" w:rsidRPr="00D6779D">
        <w:rPr>
          <w:rFonts w:ascii="Arial" w:hAnsi="Arial" w:cs="Arial"/>
          <w:color w:val="000000" w:themeColor="text1"/>
        </w:rPr>
        <w:t>Observatorio de Control y Vigilancia de las Finanzas y las Políticas Públicas</w:t>
      </w:r>
      <w:r w:rsidR="00D6779D" w:rsidRPr="00D6779D">
        <w:rPr>
          <w:rFonts w:ascii="Arial" w:hAnsi="Arial" w:cs="Arial"/>
          <w:bCs/>
          <w:color w:val="000000" w:themeColor="text1"/>
        </w:rPr>
        <w:t xml:space="preserve"> - </w:t>
      </w:r>
      <w:r w:rsidR="00D6779D" w:rsidRPr="00D6779D">
        <w:rPr>
          <w:rFonts w:ascii="Arial" w:hAnsi="Arial" w:cs="Arial"/>
          <w:color w:val="000000" w:themeColor="text1"/>
          <w:shd w:val="clear" w:color="auto" w:fill="FFFFFF"/>
        </w:rPr>
        <w:t>Contraloría General de la República</w:t>
      </w:r>
      <w:r w:rsidRPr="00197AF3">
        <w:rPr>
          <w:rFonts w:ascii="Arial" w:hAnsi="Arial" w:cs="Arial"/>
          <w:color w:val="000000"/>
        </w:rPr>
        <w:t>, el resumen mensual e informe desagregado de los respectivos costos, impuestos y demás valores asociados que son generados precisamente por dichas operaciones, dentro de los siguientes treinta y cinco (35) días calendario siguientes al mes de realización de las operaciones. </w:t>
      </w:r>
    </w:p>
    <w:p w:rsidR="007779FC" w:rsidRPr="00197AF3" w:rsidRDefault="007779FC" w:rsidP="00C31D20">
      <w:pPr>
        <w:pStyle w:val="NormalWeb"/>
        <w:spacing w:before="0" w:beforeAutospacing="0" w:after="0" w:afterAutospacing="0" w:line="254" w:lineRule="atLeast"/>
        <w:contextualSpacing/>
        <w:jc w:val="both"/>
        <w:rPr>
          <w:rFonts w:ascii="Arial" w:hAnsi="Arial" w:cs="Arial"/>
          <w:color w:val="000000"/>
        </w:rPr>
      </w:pPr>
      <w:r w:rsidRPr="00197AF3">
        <w:rPr>
          <w:rFonts w:ascii="Arial" w:hAnsi="Arial" w:cs="Arial"/>
          <w:color w:val="000000"/>
        </w:rPr>
        <w:t>  </w:t>
      </w:r>
    </w:p>
    <w:p w:rsidR="007779FC" w:rsidRPr="00197AF3" w:rsidRDefault="007779FC" w:rsidP="00C31D20">
      <w:pPr>
        <w:pStyle w:val="NormalWeb"/>
        <w:spacing w:before="0" w:beforeAutospacing="0" w:after="0" w:afterAutospacing="0" w:line="254" w:lineRule="atLeast"/>
        <w:contextualSpacing/>
        <w:jc w:val="both"/>
        <w:rPr>
          <w:rFonts w:ascii="Arial" w:hAnsi="Arial" w:cs="Arial"/>
          <w:color w:val="000000"/>
        </w:rPr>
      </w:pPr>
      <w:r w:rsidRPr="00197AF3">
        <w:rPr>
          <w:rFonts w:ascii="Arial" w:hAnsi="Arial" w:cs="Arial"/>
          <w:color w:val="000000"/>
        </w:rPr>
        <w:t>Para estos efectos, los refinadores y/o importadores deberán usar el formato diseñado para tales efectos por el Ministerio de Minas y Energía</w:t>
      </w:r>
      <w:r w:rsidR="00D6779D">
        <w:rPr>
          <w:rFonts w:ascii="Arial" w:hAnsi="Arial" w:cs="Arial"/>
          <w:color w:val="000000"/>
        </w:rPr>
        <w:t xml:space="preserve">, </w:t>
      </w:r>
      <w:r w:rsidR="0016232E" w:rsidRPr="00197AF3">
        <w:rPr>
          <w:rFonts w:ascii="Arial" w:hAnsi="Arial" w:cs="Arial"/>
          <w:color w:val="000000"/>
        </w:rPr>
        <w:t>revisado</w:t>
      </w:r>
      <w:r w:rsidR="00D6779D">
        <w:rPr>
          <w:rFonts w:ascii="Arial" w:hAnsi="Arial" w:cs="Arial"/>
          <w:color w:val="000000"/>
        </w:rPr>
        <w:t xml:space="preserve"> y </w:t>
      </w:r>
      <w:r w:rsidR="00795548">
        <w:rPr>
          <w:rFonts w:ascii="Arial" w:hAnsi="Arial" w:cs="Arial"/>
          <w:color w:val="000000"/>
        </w:rPr>
        <w:t>verificado</w:t>
      </w:r>
      <w:r w:rsidR="0016232E" w:rsidRPr="00197AF3">
        <w:rPr>
          <w:rFonts w:ascii="Arial" w:hAnsi="Arial" w:cs="Arial"/>
          <w:color w:val="000000"/>
        </w:rPr>
        <w:t xml:space="preserve"> por el </w:t>
      </w:r>
      <w:r w:rsidR="0016232E" w:rsidRPr="00197AF3">
        <w:rPr>
          <w:rFonts w:ascii="Arial" w:hAnsi="Arial" w:cs="Arial"/>
          <w:color w:val="000000" w:themeColor="text1"/>
        </w:rPr>
        <w:t>Observatorio de Control y Vigilancia de las Finanzas y las Políticas Públicas</w:t>
      </w:r>
      <w:r w:rsidR="0016232E" w:rsidRPr="00197AF3">
        <w:rPr>
          <w:rFonts w:ascii="Arial" w:hAnsi="Arial" w:cs="Arial"/>
          <w:b/>
          <w:bCs/>
          <w:color w:val="000000" w:themeColor="text1"/>
        </w:rPr>
        <w:t xml:space="preserve"> - </w:t>
      </w:r>
      <w:r w:rsidR="0016232E" w:rsidRPr="00197AF3">
        <w:rPr>
          <w:rFonts w:ascii="Arial" w:hAnsi="Arial" w:cs="Arial"/>
          <w:color w:val="000000" w:themeColor="text1"/>
          <w:shd w:val="clear" w:color="auto" w:fill="FFFFFF"/>
        </w:rPr>
        <w:t>Contraloría General de la República</w:t>
      </w:r>
      <w:r w:rsidRPr="00197AF3">
        <w:rPr>
          <w:rFonts w:ascii="Arial" w:hAnsi="Arial" w:cs="Arial"/>
          <w:color w:val="000000"/>
        </w:rPr>
        <w:t>, sin perjuicio de la obligación que les asiste a los agentes, de remitir la información de forma clara, completa y oportuna. </w:t>
      </w:r>
    </w:p>
    <w:p w:rsidR="007779FC" w:rsidRPr="00197AF3" w:rsidRDefault="007779FC" w:rsidP="00C31D20">
      <w:pPr>
        <w:pStyle w:val="NormalWeb"/>
        <w:spacing w:before="0" w:beforeAutospacing="0" w:after="0" w:afterAutospacing="0" w:line="254" w:lineRule="atLeast"/>
        <w:contextualSpacing/>
        <w:jc w:val="both"/>
        <w:rPr>
          <w:rFonts w:ascii="Arial" w:hAnsi="Arial" w:cs="Arial"/>
          <w:color w:val="000000"/>
        </w:rPr>
      </w:pPr>
      <w:r w:rsidRPr="00197AF3">
        <w:rPr>
          <w:rFonts w:ascii="Arial" w:hAnsi="Arial" w:cs="Arial"/>
          <w:color w:val="000000"/>
        </w:rPr>
        <w:t>  </w:t>
      </w:r>
    </w:p>
    <w:p w:rsidR="007779FC" w:rsidRPr="00197AF3" w:rsidRDefault="007779FC" w:rsidP="00C31D20">
      <w:pPr>
        <w:pStyle w:val="NormalWeb"/>
        <w:spacing w:before="0" w:beforeAutospacing="0" w:after="0" w:afterAutospacing="0" w:line="254" w:lineRule="atLeast"/>
        <w:contextualSpacing/>
        <w:jc w:val="both"/>
        <w:rPr>
          <w:rFonts w:ascii="Arial" w:hAnsi="Arial" w:cs="Arial"/>
          <w:color w:val="000000"/>
        </w:rPr>
      </w:pPr>
      <w:r w:rsidRPr="00197AF3">
        <w:rPr>
          <w:rFonts w:ascii="Arial" w:hAnsi="Arial" w:cs="Arial"/>
          <w:color w:val="000000"/>
        </w:rPr>
        <w:t xml:space="preserve">El Ministerio de Minas y Energía </w:t>
      </w:r>
      <w:r w:rsidR="0016232E" w:rsidRPr="00197AF3">
        <w:rPr>
          <w:rFonts w:ascii="Arial" w:hAnsi="Arial" w:cs="Arial"/>
          <w:color w:val="000000"/>
        </w:rPr>
        <w:t xml:space="preserve">y </w:t>
      </w:r>
      <w:r w:rsidR="0016232E" w:rsidRPr="00197AF3">
        <w:rPr>
          <w:rFonts w:ascii="Arial" w:hAnsi="Arial" w:cs="Arial"/>
          <w:color w:val="000000" w:themeColor="text1"/>
        </w:rPr>
        <w:t>Observatorio de Control y Vigilancia de las Finanzas y las Políticas Públicas</w:t>
      </w:r>
      <w:r w:rsidR="0016232E" w:rsidRPr="00197AF3">
        <w:rPr>
          <w:rFonts w:ascii="Arial" w:hAnsi="Arial" w:cs="Arial"/>
          <w:b/>
          <w:bCs/>
          <w:color w:val="000000" w:themeColor="text1"/>
        </w:rPr>
        <w:t xml:space="preserve"> - </w:t>
      </w:r>
      <w:r w:rsidR="0016232E" w:rsidRPr="00197AF3">
        <w:rPr>
          <w:rFonts w:ascii="Arial" w:hAnsi="Arial" w:cs="Arial"/>
          <w:color w:val="000000" w:themeColor="text1"/>
          <w:shd w:val="clear" w:color="auto" w:fill="FFFFFF"/>
        </w:rPr>
        <w:t>Contraloría General de la República</w:t>
      </w:r>
      <w:r w:rsidR="0016232E" w:rsidRPr="00197AF3">
        <w:rPr>
          <w:rFonts w:ascii="Arial" w:hAnsi="Arial" w:cs="Arial"/>
          <w:color w:val="000000"/>
        </w:rPr>
        <w:t xml:space="preserve"> </w:t>
      </w:r>
      <w:r w:rsidRPr="00197AF3">
        <w:rPr>
          <w:rFonts w:ascii="Arial" w:hAnsi="Arial" w:cs="Arial"/>
          <w:color w:val="000000"/>
        </w:rPr>
        <w:t xml:space="preserve">evaluará la información remitida y podrá requerir las aclaraciones, adiciones, correcciones y/o auditorías a la misma, de conformidad con los requisitos establecidos en el presente </w:t>
      </w:r>
      <w:r w:rsidR="00D6779D">
        <w:rPr>
          <w:rFonts w:ascii="Arial" w:hAnsi="Arial" w:cs="Arial"/>
          <w:color w:val="000000"/>
        </w:rPr>
        <w:t xml:space="preserve">ley. </w:t>
      </w:r>
    </w:p>
    <w:p w:rsidR="007779FC" w:rsidRPr="00197AF3" w:rsidRDefault="007779FC" w:rsidP="00C31D20">
      <w:pPr>
        <w:pStyle w:val="NormalWeb"/>
        <w:spacing w:before="0" w:beforeAutospacing="0" w:after="0" w:afterAutospacing="0" w:line="254" w:lineRule="atLeast"/>
        <w:contextualSpacing/>
        <w:jc w:val="both"/>
        <w:rPr>
          <w:rFonts w:ascii="Arial" w:hAnsi="Arial" w:cs="Arial"/>
          <w:color w:val="000000"/>
        </w:rPr>
      </w:pPr>
      <w:r w:rsidRPr="00197AF3">
        <w:rPr>
          <w:rFonts w:ascii="Arial" w:hAnsi="Arial" w:cs="Arial"/>
          <w:color w:val="000000"/>
        </w:rPr>
        <w:t>  </w:t>
      </w:r>
    </w:p>
    <w:p w:rsidR="007779FC" w:rsidRPr="00197AF3" w:rsidRDefault="007779FC" w:rsidP="00C31D20">
      <w:pPr>
        <w:pStyle w:val="NormalWeb"/>
        <w:spacing w:before="0" w:beforeAutospacing="0" w:after="0" w:afterAutospacing="0" w:line="254" w:lineRule="atLeast"/>
        <w:contextualSpacing/>
        <w:jc w:val="both"/>
        <w:rPr>
          <w:rFonts w:ascii="Arial" w:hAnsi="Arial" w:cs="Arial"/>
          <w:color w:val="000000"/>
        </w:rPr>
      </w:pPr>
      <w:r w:rsidRPr="00197AF3">
        <w:rPr>
          <w:rStyle w:val="Textoennegrita"/>
          <w:rFonts w:ascii="Arial" w:hAnsi="Arial" w:cs="Arial"/>
          <w:color w:val="000000"/>
        </w:rPr>
        <w:t>Parágrafo. </w:t>
      </w:r>
      <w:r w:rsidRPr="00197AF3">
        <w:rPr>
          <w:rFonts w:ascii="Arial" w:hAnsi="Arial" w:cs="Arial"/>
          <w:color w:val="000000"/>
        </w:rPr>
        <w:t>El Ministerio de Minas y Energía, a través de la Dirección de Hidrocarburos</w:t>
      </w:r>
      <w:r w:rsidR="0016232E" w:rsidRPr="00197AF3">
        <w:rPr>
          <w:rFonts w:ascii="Arial" w:hAnsi="Arial" w:cs="Arial"/>
          <w:color w:val="000000"/>
        </w:rPr>
        <w:t xml:space="preserve"> con la </w:t>
      </w:r>
      <w:r w:rsidR="00D6779D">
        <w:rPr>
          <w:rFonts w:ascii="Arial" w:hAnsi="Arial" w:cs="Arial"/>
          <w:color w:val="000000"/>
        </w:rPr>
        <w:t>revisión y verificación</w:t>
      </w:r>
      <w:r w:rsidR="0016232E" w:rsidRPr="00197AF3">
        <w:rPr>
          <w:rFonts w:ascii="Arial" w:hAnsi="Arial" w:cs="Arial"/>
          <w:color w:val="000000"/>
        </w:rPr>
        <w:t xml:space="preserve"> del </w:t>
      </w:r>
      <w:r w:rsidR="0016232E" w:rsidRPr="00197AF3">
        <w:rPr>
          <w:rFonts w:ascii="Arial" w:hAnsi="Arial" w:cs="Arial"/>
          <w:color w:val="000000" w:themeColor="text1"/>
        </w:rPr>
        <w:t xml:space="preserve">Observatorio de Control y </w:t>
      </w:r>
      <w:r w:rsidR="0016232E" w:rsidRPr="00197AF3">
        <w:rPr>
          <w:rFonts w:ascii="Arial" w:hAnsi="Arial" w:cs="Arial"/>
          <w:color w:val="000000" w:themeColor="text1"/>
        </w:rPr>
        <w:lastRenderedPageBreak/>
        <w:t>Vigilancia de las Finanzas y las Políticas Públicas</w:t>
      </w:r>
      <w:r w:rsidR="0016232E" w:rsidRPr="00197AF3">
        <w:rPr>
          <w:rFonts w:ascii="Arial" w:hAnsi="Arial" w:cs="Arial"/>
          <w:b/>
          <w:bCs/>
          <w:color w:val="000000" w:themeColor="text1"/>
        </w:rPr>
        <w:t xml:space="preserve"> - </w:t>
      </w:r>
      <w:r w:rsidR="0016232E" w:rsidRPr="00197AF3">
        <w:rPr>
          <w:rFonts w:ascii="Arial" w:hAnsi="Arial" w:cs="Arial"/>
          <w:color w:val="000000" w:themeColor="text1"/>
          <w:shd w:val="clear" w:color="auto" w:fill="FFFFFF"/>
        </w:rPr>
        <w:t>Contraloría General de la República</w:t>
      </w:r>
      <w:r w:rsidRPr="00197AF3">
        <w:rPr>
          <w:rFonts w:ascii="Arial" w:hAnsi="Arial" w:cs="Arial"/>
          <w:color w:val="000000"/>
        </w:rPr>
        <w:t>, iniciará los procedimientos de determinación de la contribución parafiscal al combustible a cargo de los refinadores y/o importadores que reporten información inexacta o no reporten la información para calcular y liquidar esa contribución dentro de los plazos definidos en el presente artículo</w:t>
      </w:r>
      <w:r w:rsidR="00D6779D">
        <w:rPr>
          <w:rFonts w:ascii="Arial" w:hAnsi="Arial" w:cs="Arial"/>
          <w:color w:val="000000"/>
        </w:rPr>
        <w:t>.</w:t>
      </w:r>
      <w:r w:rsidRPr="00197AF3">
        <w:rPr>
          <w:rFonts w:ascii="Arial" w:hAnsi="Arial" w:cs="Arial"/>
          <w:color w:val="000000"/>
        </w:rPr>
        <w:t>  </w:t>
      </w:r>
    </w:p>
    <w:p w:rsidR="007779FC" w:rsidRPr="00197AF3" w:rsidRDefault="007779FC" w:rsidP="00C31D20">
      <w:pPr>
        <w:pStyle w:val="NormalWeb"/>
        <w:spacing w:before="0" w:beforeAutospacing="0" w:after="0" w:afterAutospacing="0" w:line="254" w:lineRule="atLeast"/>
        <w:contextualSpacing/>
        <w:jc w:val="both"/>
        <w:rPr>
          <w:rFonts w:ascii="Arial" w:hAnsi="Arial" w:cs="Arial"/>
          <w:color w:val="000000"/>
        </w:rPr>
      </w:pPr>
      <w:r w:rsidRPr="00197AF3">
        <w:rPr>
          <w:rFonts w:ascii="Arial" w:hAnsi="Arial" w:cs="Arial"/>
          <w:color w:val="000000"/>
        </w:rPr>
        <w:t>El mismo procedimiento será utilizado para hacer exigible la contribución liquidada por e</w:t>
      </w:r>
      <w:r w:rsidR="00D6779D">
        <w:rPr>
          <w:rFonts w:ascii="Arial" w:hAnsi="Arial" w:cs="Arial"/>
          <w:color w:val="000000"/>
        </w:rPr>
        <w:t xml:space="preserve">l Ministerio de Minas y Energía, </w:t>
      </w:r>
      <w:r w:rsidR="0016232E" w:rsidRPr="00197AF3">
        <w:rPr>
          <w:rFonts w:ascii="Arial" w:hAnsi="Arial" w:cs="Arial"/>
          <w:color w:val="000000"/>
        </w:rPr>
        <w:t xml:space="preserve">revisado </w:t>
      </w:r>
      <w:r w:rsidR="00D6779D">
        <w:rPr>
          <w:rFonts w:ascii="Arial" w:hAnsi="Arial" w:cs="Arial"/>
          <w:color w:val="000000"/>
        </w:rPr>
        <w:t xml:space="preserve">y verificado </w:t>
      </w:r>
      <w:r w:rsidR="0016232E" w:rsidRPr="00197AF3">
        <w:rPr>
          <w:rFonts w:ascii="Arial" w:hAnsi="Arial" w:cs="Arial"/>
          <w:color w:val="000000"/>
        </w:rPr>
        <w:t xml:space="preserve">por el </w:t>
      </w:r>
      <w:r w:rsidR="0016232E" w:rsidRPr="00197AF3">
        <w:rPr>
          <w:rFonts w:ascii="Arial" w:hAnsi="Arial" w:cs="Arial"/>
          <w:color w:val="000000" w:themeColor="text1"/>
        </w:rPr>
        <w:t>Observatorio de Control y Vigilancia de las Finanzas y las Políticas Públicas</w:t>
      </w:r>
      <w:r w:rsidR="0016232E" w:rsidRPr="00197AF3">
        <w:rPr>
          <w:rFonts w:ascii="Arial" w:hAnsi="Arial" w:cs="Arial"/>
          <w:b/>
          <w:bCs/>
          <w:color w:val="000000" w:themeColor="text1"/>
        </w:rPr>
        <w:t xml:space="preserve"> - </w:t>
      </w:r>
      <w:r w:rsidR="0016232E" w:rsidRPr="00197AF3">
        <w:rPr>
          <w:rFonts w:ascii="Arial" w:hAnsi="Arial" w:cs="Arial"/>
          <w:color w:val="000000" w:themeColor="text1"/>
          <w:shd w:val="clear" w:color="auto" w:fill="FFFFFF"/>
        </w:rPr>
        <w:t>Contraloría General de la República</w:t>
      </w:r>
      <w:r w:rsidR="0016232E" w:rsidRPr="00197AF3">
        <w:rPr>
          <w:rFonts w:ascii="Arial" w:hAnsi="Arial" w:cs="Arial"/>
          <w:color w:val="000000"/>
        </w:rPr>
        <w:t xml:space="preserve"> </w:t>
      </w:r>
      <w:r w:rsidRPr="00197AF3">
        <w:rPr>
          <w:rFonts w:ascii="Arial" w:hAnsi="Arial" w:cs="Arial"/>
          <w:color w:val="000000"/>
        </w:rPr>
        <w:t>y que no se transfiera dentro del plazo determinado para el pago de la contribución. </w:t>
      </w:r>
    </w:p>
    <w:p w:rsidR="007779FC" w:rsidRPr="00197AF3" w:rsidRDefault="007779FC" w:rsidP="00C31D20">
      <w:pPr>
        <w:pStyle w:val="NormalWeb"/>
        <w:spacing w:before="0" w:beforeAutospacing="0" w:after="0" w:afterAutospacing="0" w:line="254" w:lineRule="atLeast"/>
        <w:contextualSpacing/>
        <w:jc w:val="both"/>
        <w:rPr>
          <w:rFonts w:ascii="Arial" w:hAnsi="Arial" w:cs="Arial"/>
          <w:color w:val="000000"/>
        </w:rPr>
      </w:pPr>
      <w:r w:rsidRPr="00197AF3">
        <w:rPr>
          <w:rFonts w:ascii="Arial" w:hAnsi="Arial" w:cs="Arial"/>
          <w:color w:val="000000"/>
        </w:rPr>
        <w:t>  </w:t>
      </w:r>
    </w:p>
    <w:p w:rsidR="007779FC" w:rsidRPr="00197AF3" w:rsidRDefault="007779FC" w:rsidP="00C31D20">
      <w:pPr>
        <w:pStyle w:val="NormalWeb"/>
        <w:spacing w:before="0" w:beforeAutospacing="0" w:after="0" w:afterAutospacing="0" w:line="254" w:lineRule="atLeast"/>
        <w:contextualSpacing/>
        <w:jc w:val="both"/>
        <w:rPr>
          <w:rFonts w:ascii="Arial" w:hAnsi="Arial" w:cs="Arial"/>
          <w:color w:val="000000"/>
        </w:rPr>
      </w:pPr>
      <w:r w:rsidRPr="00197AF3">
        <w:rPr>
          <w:rStyle w:val="Textoennegrita"/>
          <w:rFonts w:ascii="Arial" w:hAnsi="Arial" w:cs="Arial"/>
          <w:color w:val="000000"/>
        </w:rPr>
        <w:t>Parágrafo Transitorio. </w:t>
      </w:r>
      <w:r w:rsidRPr="00197AF3">
        <w:rPr>
          <w:rFonts w:ascii="Arial" w:hAnsi="Arial" w:cs="Arial"/>
          <w:color w:val="000000"/>
        </w:rPr>
        <w:t>Los reportes de información de los que trata el presente artículo, para aquellas operaciones de venta y/o importación de combustibles realizadas durante los tres primeros meses, contados a partir de la entrada e</w:t>
      </w:r>
      <w:r w:rsidR="00795548">
        <w:rPr>
          <w:rFonts w:ascii="Arial" w:hAnsi="Arial" w:cs="Arial"/>
          <w:color w:val="000000"/>
        </w:rPr>
        <w:t>n vigencia del presente ley</w:t>
      </w:r>
      <w:r w:rsidRPr="00197AF3">
        <w:rPr>
          <w:rFonts w:ascii="Arial" w:hAnsi="Arial" w:cs="Arial"/>
          <w:color w:val="000000"/>
        </w:rPr>
        <w:t>, deberán ser remitidos a la Dirección de Hidrocarburos del Ministerio de Minas y Energía</w:t>
      </w:r>
      <w:r w:rsidR="0016232E" w:rsidRPr="00197AF3">
        <w:rPr>
          <w:rFonts w:ascii="Arial" w:hAnsi="Arial" w:cs="Arial"/>
          <w:color w:val="000000"/>
        </w:rPr>
        <w:t xml:space="preserve"> y al </w:t>
      </w:r>
      <w:r w:rsidR="0016232E" w:rsidRPr="00197AF3">
        <w:rPr>
          <w:rFonts w:ascii="Arial" w:hAnsi="Arial" w:cs="Arial"/>
          <w:color w:val="000000" w:themeColor="text1"/>
        </w:rPr>
        <w:t>Observatorio de Control y Vigilancia de las Finanzas y las Políticas Públicas</w:t>
      </w:r>
      <w:r w:rsidR="0016232E" w:rsidRPr="00197AF3">
        <w:rPr>
          <w:rFonts w:ascii="Arial" w:hAnsi="Arial" w:cs="Arial"/>
          <w:b/>
          <w:bCs/>
          <w:color w:val="000000" w:themeColor="text1"/>
        </w:rPr>
        <w:t xml:space="preserve"> - </w:t>
      </w:r>
      <w:r w:rsidR="0016232E" w:rsidRPr="00197AF3">
        <w:rPr>
          <w:rFonts w:ascii="Arial" w:hAnsi="Arial" w:cs="Arial"/>
          <w:color w:val="000000" w:themeColor="text1"/>
          <w:shd w:val="clear" w:color="auto" w:fill="FFFFFF"/>
        </w:rPr>
        <w:t>Contraloría General de la República</w:t>
      </w:r>
      <w:r w:rsidRPr="00197AF3">
        <w:rPr>
          <w:rFonts w:ascii="Arial" w:hAnsi="Arial" w:cs="Arial"/>
          <w:color w:val="000000"/>
        </w:rPr>
        <w:t>, en un término no mayor a treinta y cinco (35) días calendario posteriores al tercer mes de la entrada en vigencia del presente Capítulo. </w:t>
      </w:r>
    </w:p>
    <w:p w:rsidR="007779FC" w:rsidRPr="00197AF3" w:rsidRDefault="007779FC" w:rsidP="00C31D20">
      <w:pPr>
        <w:pStyle w:val="NormalWeb"/>
        <w:spacing w:before="0" w:beforeAutospacing="0" w:after="0" w:afterAutospacing="0" w:line="254" w:lineRule="atLeast"/>
        <w:contextualSpacing/>
        <w:jc w:val="both"/>
        <w:rPr>
          <w:rFonts w:ascii="Arial" w:hAnsi="Arial" w:cs="Arial"/>
          <w:color w:val="000000"/>
        </w:rPr>
      </w:pPr>
      <w:r w:rsidRPr="00197AF3">
        <w:rPr>
          <w:rFonts w:ascii="Arial" w:hAnsi="Arial" w:cs="Arial"/>
          <w:color w:val="000000"/>
        </w:rPr>
        <w:t>  </w:t>
      </w:r>
    </w:p>
    <w:p w:rsidR="007779FC" w:rsidRPr="00197AF3" w:rsidRDefault="007779FC" w:rsidP="00C31D20">
      <w:pPr>
        <w:pStyle w:val="NormalWeb"/>
        <w:spacing w:before="0" w:beforeAutospacing="0" w:after="0" w:afterAutospacing="0" w:line="254" w:lineRule="atLeast"/>
        <w:contextualSpacing/>
        <w:jc w:val="both"/>
        <w:rPr>
          <w:rFonts w:ascii="Arial" w:hAnsi="Arial" w:cs="Arial"/>
          <w:color w:val="000000"/>
        </w:rPr>
      </w:pPr>
      <w:r w:rsidRPr="00197AF3">
        <w:rPr>
          <w:rFonts w:ascii="Arial" w:hAnsi="Arial" w:cs="Arial"/>
          <w:color w:val="000000"/>
        </w:rPr>
        <w:t>A partir del cuarto mes de entrada e</w:t>
      </w:r>
      <w:r w:rsidR="00795548">
        <w:rPr>
          <w:rFonts w:ascii="Arial" w:hAnsi="Arial" w:cs="Arial"/>
          <w:color w:val="000000"/>
        </w:rPr>
        <w:t>n vigencia de la presente ley</w:t>
      </w:r>
      <w:r w:rsidRPr="00197AF3">
        <w:rPr>
          <w:rFonts w:ascii="Arial" w:hAnsi="Arial" w:cs="Arial"/>
          <w:color w:val="000000"/>
        </w:rPr>
        <w:t>, los reportes serán exigibles periódicamente según lo dispuesto en el presente artículo. </w:t>
      </w:r>
    </w:p>
    <w:p w:rsidR="007779FC" w:rsidRPr="00D6779D" w:rsidRDefault="007779FC" w:rsidP="00C31D20">
      <w:pPr>
        <w:pStyle w:val="NormalWeb"/>
        <w:spacing w:before="0" w:beforeAutospacing="0" w:after="0" w:afterAutospacing="0" w:line="254" w:lineRule="atLeast"/>
        <w:contextualSpacing/>
        <w:jc w:val="both"/>
        <w:rPr>
          <w:rFonts w:ascii="Arial" w:hAnsi="Arial" w:cs="Arial"/>
          <w:color w:val="000000"/>
        </w:rPr>
      </w:pPr>
      <w:r w:rsidRPr="00197AF3">
        <w:rPr>
          <w:rFonts w:ascii="Arial" w:hAnsi="Arial" w:cs="Arial"/>
          <w:color w:val="000000"/>
        </w:rPr>
        <w:t>  </w:t>
      </w:r>
      <w:bookmarkStart w:id="6" w:name="ver_30056902"/>
      <w:bookmarkStart w:id="7" w:name="ver_30177557"/>
      <w:bookmarkStart w:id="8" w:name="ver_30056903"/>
      <w:bookmarkEnd w:id="6"/>
      <w:bookmarkEnd w:id="7"/>
    </w:p>
    <w:p w:rsidR="007779FC" w:rsidRPr="00197AF3" w:rsidRDefault="007779FC" w:rsidP="00C31D20">
      <w:pPr>
        <w:pStyle w:val="NormalWeb"/>
        <w:spacing w:before="0" w:beforeAutospacing="0" w:after="0" w:afterAutospacing="0" w:line="254" w:lineRule="atLeast"/>
        <w:contextualSpacing/>
        <w:jc w:val="both"/>
        <w:rPr>
          <w:rFonts w:ascii="Arial" w:hAnsi="Arial" w:cs="Arial"/>
          <w:color w:val="000000"/>
        </w:rPr>
      </w:pPr>
      <w:r w:rsidRPr="00197AF3">
        <w:rPr>
          <w:rStyle w:val="Textoennegrita"/>
          <w:rFonts w:ascii="Arial" w:hAnsi="Arial" w:cs="Arial"/>
          <w:color w:val="000000"/>
        </w:rPr>
        <w:t xml:space="preserve">Artículo </w:t>
      </w:r>
      <w:r w:rsidR="00FD2B73" w:rsidRPr="00197AF3">
        <w:rPr>
          <w:rStyle w:val="Textoennegrita"/>
          <w:rFonts w:ascii="Arial" w:hAnsi="Arial" w:cs="Arial"/>
          <w:color w:val="000000"/>
        </w:rPr>
        <w:t>6.3</w:t>
      </w:r>
      <w:r w:rsidR="00FD2B73" w:rsidRPr="00197AF3">
        <w:rPr>
          <w:rFonts w:ascii="Arial" w:eastAsia="Arial" w:hAnsi="Arial" w:cs="Arial"/>
          <w:b/>
          <w:color w:val="000000" w:themeColor="text1"/>
        </w:rPr>
        <w:t xml:space="preserve"> º</w:t>
      </w:r>
      <w:r w:rsidR="00FD2B73" w:rsidRPr="00197AF3">
        <w:rPr>
          <w:rStyle w:val="Textoennegrita"/>
          <w:rFonts w:ascii="Arial" w:hAnsi="Arial" w:cs="Arial"/>
          <w:color w:val="000000"/>
        </w:rPr>
        <w:t>.</w:t>
      </w:r>
      <w:r w:rsidRPr="00197AF3">
        <w:rPr>
          <w:rStyle w:val="Textoennegrita"/>
          <w:rFonts w:ascii="Arial" w:hAnsi="Arial" w:cs="Arial"/>
          <w:color w:val="000000"/>
        </w:rPr>
        <w:t xml:space="preserve"> Cálculo de la Posición Neta.</w:t>
      </w:r>
      <w:r w:rsidRPr="00197AF3">
        <w:rPr>
          <w:rFonts w:ascii="Arial" w:hAnsi="Arial" w:cs="Arial"/>
          <w:color w:val="000000"/>
        </w:rPr>
        <w:t> El Ministerio de Minas</w:t>
      </w:r>
      <w:r w:rsidR="00FD2B73" w:rsidRPr="00197AF3">
        <w:rPr>
          <w:rFonts w:ascii="Arial" w:hAnsi="Arial" w:cs="Arial"/>
          <w:color w:val="000000"/>
        </w:rPr>
        <w:t xml:space="preserve"> y </w:t>
      </w:r>
      <w:r w:rsidRPr="00197AF3">
        <w:rPr>
          <w:rFonts w:ascii="Arial" w:hAnsi="Arial" w:cs="Arial"/>
          <w:color w:val="000000"/>
        </w:rPr>
        <w:t>Energí</w:t>
      </w:r>
      <w:r w:rsidR="00FD2B73" w:rsidRPr="00197AF3">
        <w:rPr>
          <w:rFonts w:ascii="Arial" w:hAnsi="Arial" w:cs="Arial"/>
          <w:color w:val="000000"/>
        </w:rPr>
        <w:t xml:space="preserve">a, Ministerio de Hacienda y  </w:t>
      </w:r>
      <w:r w:rsidR="00795548" w:rsidRPr="00197AF3">
        <w:rPr>
          <w:rFonts w:ascii="Arial" w:hAnsi="Arial" w:cs="Arial"/>
          <w:color w:val="000000"/>
        </w:rPr>
        <w:t>Crédito</w:t>
      </w:r>
      <w:r w:rsidR="00FD2B73" w:rsidRPr="00197AF3">
        <w:rPr>
          <w:rFonts w:ascii="Arial" w:hAnsi="Arial" w:cs="Arial"/>
          <w:color w:val="000000"/>
        </w:rPr>
        <w:t xml:space="preserve"> Publico </w:t>
      </w:r>
      <w:r w:rsidR="00795548">
        <w:rPr>
          <w:rFonts w:ascii="Arial" w:hAnsi="Arial" w:cs="Arial"/>
          <w:color w:val="000000"/>
        </w:rPr>
        <w:t>con revisión y verificación d</w:t>
      </w:r>
      <w:r w:rsidR="00FD2B73" w:rsidRPr="00197AF3">
        <w:rPr>
          <w:rFonts w:ascii="Arial" w:hAnsi="Arial" w:cs="Arial"/>
          <w:color w:val="000000"/>
        </w:rPr>
        <w:t xml:space="preserve">el </w:t>
      </w:r>
      <w:r w:rsidR="00FD2B73" w:rsidRPr="00197AF3">
        <w:rPr>
          <w:rFonts w:ascii="Arial" w:hAnsi="Arial" w:cs="Arial"/>
          <w:color w:val="000000" w:themeColor="text1"/>
        </w:rPr>
        <w:t>Observatorio de Control y Vigilancia de las Finanzas y las Políticas Públicas</w:t>
      </w:r>
      <w:r w:rsidR="00FD2B73" w:rsidRPr="00197AF3">
        <w:rPr>
          <w:rFonts w:ascii="Arial" w:hAnsi="Arial" w:cs="Arial"/>
          <w:b/>
          <w:bCs/>
          <w:color w:val="000000" w:themeColor="text1"/>
        </w:rPr>
        <w:t xml:space="preserve"> - </w:t>
      </w:r>
      <w:r w:rsidR="00FD2B73" w:rsidRPr="00197AF3">
        <w:rPr>
          <w:rFonts w:ascii="Arial" w:hAnsi="Arial" w:cs="Arial"/>
          <w:color w:val="000000" w:themeColor="text1"/>
          <w:shd w:val="clear" w:color="auto" w:fill="FFFFFF"/>
        </w:rPr>
        <w:t>Contraloría General de la República</w:t>
      </w:r>
      <w:r w:rsidRPr="00197AF3">
        <w:rPr>
          <w:rFonts w:ascii="Arial" w:hAnsi="Arial" w:cs="Arial"/>
          <w:color w:val="000000"/>
        </w:rPr>
        <w:t>, a través de la Dirección de Hidrocarburos, calculará y liquidará mediante resolución, el valor de la posición neta de cada refinador y/o importador discriminando cada tipo de combustible a ser reconocido por el FEPC de forma trimestral, previa presentación al Comité Directivo de dicho Fondo. Dicha posición será la sumatoria de los diferenciales a lo largo del trimestre, cuyo resultado será el monto en pesos a favor o en contra de cada refinador y/o importador y según sea el caso, con cargo a los recursos del FEPC. </w:t>
      </w:r>
    </w:p>
    <w:p w:rsidR="007779FC" w:rsidRPr="00197AF3" w:rsidRDefault="007779FC" w:rsidP="00C31D20">
      <w:pPr>
        <w:contextualSpacing/>
        <w:jc w:val="both"/>
        <w:rPr>
          <w:rFonts w:ascii="Arial" w:hAnsi="Arial" w:cs="Arial"/>
        </w:rPr>
      </w:pPr>
      <w:bookmarkStart w:id="9" w:name="ver_30177558"/>
      <w:bookmarkStart w:id="10" w:name="ver_30056904"/>
      <w:bookmarkEnd w:id="8"/>
      <w:bookmarkEnd w:id="9"/>
    </w:p>
    <w:p w:rsidR="007779FC" w:rsidRPr="00197AF3" w:rsidRDefault="00FD2B73" w:rsidP="00C31D20">
      <w:pPr>
        <w:pStyle w:val="NormalWeb"/>
        <w:spacing w:before="0" w:beforeAutospacing="0" w:after="0" w:afterAutospacing="0" w:line="254" w:lineRule="atLeast"/>
        <w:contextualSpacing/>
        <w:jc w:val="both"/>
        <w:rPr>
          <w:rFonts w:ascii="Arial" w:hAnsi="Arial" w:cs="Arial"/>
          <w:color w:val="000000"/>
        </w:rPr>
      </w:pPr>
      <w:r w:rsidRPr="00197AF3">
        <w:rPr>
          <w:rStyle w:val="Textoennegrita"/>
          <w:rFonts w:ascii="Arial" w:hAnsi="Arial" w:cs="Arial"/>
          <w:color w:val="000000"/>
        </w:rPr>
        <w:t>Artículo 6.4</w:t>
      </w:r>
      <w:r w:rsidRPr="00197AF3">
        <w:rPr>
          <w:rFonts w:ascii="Arial" w:eastAsia="Arial" w:hAnsi="Arial" w:cs="Arial"/>
          <w:b/>
          <w:color w:val="000000" w:themeColor="text1"/>
        </w:rPr>
        <w:t>º</w:t>
      </w:r>
      <w:r w:rsidRPr="00197AF3">
        <w:rPr>
          <w:rStyle w:val="Textoennegrita"/>
          <w:rFonts w:ascii="Arial" w:hAnsi="Arial" w:cs="Arial"/>
          <w:color w:val="000000"/>
        </w:rPr>
        <w:t xml:space="preserve">. </w:t>
      </w:r>
      <w:r w:rsidR="007779FC" w:rsidRPr="00197AF3">
        <w:rPr>
          <w:rStyle w:val="Textoennegrita"/>
          <w:rFonts w:ascii="Arial" w:hAnsi="Arial" w:cs="Arial"/>
          <w:color w:val="000000"/>
        </w:rPr>
        <w:t xml:space="preserve"> Pagos de la Posición Neta que causa el Diferencial de Compensación</w:t>
      </w:r>
      <w:r w:rsidR="007779FC" w:rsidRPr="00197AF3">
        <w:rPr>
          <w:rFonts w:ascii="Arial" w:hAnsi="Arial" w:cs="Arial"/>
          <w:color w:val="000000"/>
        </w:rPr>
        <w:t>. El FEPC cancelará en pesos el valor correspondiente al cálculo y liquidación de la Posición Neta trimestral a favor de cada refinador y/o importador dentro del plazo que defina el Ministerio de Minas y Energía</w:t>
      </w:r>
      <w:r w:rsidRPr="00197AF3">
        <w:rPr>
          <w:rFonts w:ascii="Arial" w:hAnsi="Arial" w:cs="Arial"/>
          <w:color w:val="000000"/>
        </w:rPr>
        <w:t xml:space="preserve">, Ministerio </w:t>
      </w:r>
      <w:r w:rsidR="00F82EA6">
        <w:rPr>
          <w:rFonts w:ascii="Arial" w:hAnsi="Arial" w:cs="Arial"/>
          <w:color w:val="000000"/>
        </w:rPr>
        <w:t xml:space="preserve">de Hacienda y Crédito Publico, </w:t>
      </w:r>
      <w:r w:rsidRPr="00197AF3">
        <w:rPr>
          <w:rFonts w:ascii="Arial" w:hAnsi="Arial" w:cs="Arial"/>
          <w:color w:val="000000"/>
        </w:rPr>
        <w:t xml:space="preserve">revisado </w:t>
      </w:r>
      <w:r w:rsidR="00F82EA6">
        <w:rPr>
          <w:rFonts w:ascii="Arial" w:hAnsi="Arial" w:cs="Arial"/>
          <w:color w:val="000000"/>
        </w:rPr>
        <w:t xml:space="preserve">y verificado </w:t>
      </w:r>
      <w:r w:rsidRPr="00197AF3">
        <w:rPr>
          <w:rFonts w:ascii="Arial" w:hAnsi="Arial" w:cs="Arial"/>
          <w:color w:val="000000"/>
        </w:rPr>
        <w:t xml:space="preserve">por el </w:t>
      </w:r>
      <w:r w:rsidRPr="00197AF3">
        <w:rPr>
          <w:rFonts w:ascii="Arial" w:hAnsi="Arial" w:cs="Arial"/>
          <w:color w:val="000000" w:themeColor="text1"/>
        </w:rPr>
        <w:t xml:space="preserve">Observatorio de Control y </w:t>
      </w:r>
      <w:r w:rsidRPr="00197AF3">
        <w:rPr>
          <w:rFonts w:ascii="Arial" w:hAnsi="Arial" w:cs="Arial"/>
          <w:color w:val="000000" w:themeColor="text1"/>
        </w:rPr>
        <w:lastRenderedPageBreak/>
        <w:t>Vigilancia de las Finanzas y las Políticas Públicas</w:t>
      </w:r>
      <w:r w:rsidRPr="00197AF3">
        <w:rPr>
          <w:rFonts w:ascii="Arial" w:hAnsi="Arial" w:cs="Arial"/>
          <w:b/>
          <w:bCs/>
          <w:color w:val="000000" w:themeColor="text1"/>
        </w:rPr>
        <w:t xml:space="preserve"> - </w:t>
      </w:r>
      <w:r w:rsidRPr="00197AF3">
        <w:rPr>
          <w:rFonts w:ascii="Arial" w:hAnsi="Arial" w:cs="Arial"/>
          <w:color w:val="000000" w:themeColor="text1"/>
          <w:shd w:val="clear" w:color="auto" w:fill="FFFFFF"/>
        </w:rPr>
        <w:t>Contraloría General de la República</w:t>
      </w:r>
      <w:r w:rsidRPr="00197AF3">
        <w:rPr>
          <w:rFonts w:ascii="Arial" w:hAnsi="Arial" w:cs="Arial"/>
          <w:color w:val="000000"/>
        </w:rPr>
        <w:t xml:space="preserve"> </w:t>
      </w:r>
      <w:r w:rsidR="007779FC" w:rsidRPr="00197AF3">
        <w:rPr>
          <w:rFonts w:ascii="Arial" w:hAnsi="Arial" w:cs="Arial"/>
          <w:color w:val="000000"/>
        </w:rPr>
        <w:t>y con base en la disponibilidad de recursos del FEPC. </w:t>
      </w:r>
    </w:p>
    <w:p w:rsidR="007779FC" w:rsidRPr="00197AF3" w:rsidRDefault="007779FC" w:rsidP="00C31D20">
      <w:pPr>
        <w:pStyle w:val="NormalWeb"/>
        <w:spacing w:before="0" w:beforeAutospacing="0" w:after="0" w:afterAutospacing="0" w:line="254" w:lineRule="atLeast"/>
        <w:contextualSpacing/>
        <w:jc w:val="both"/>
        <w:rPr>
          <w:rFonts w:ascii="Arial" w:hAnsi="Arial" w:cs="Arial"/>
          <w:color w:val="000000"/>
        </w:rPr>
      </w:pPr>
      <w:r w:rsidRPr="00197AF3">
        <w:rPr>
          <w:rFonts w:ascii="Arial" w:hAnsi="Arial" w:cs="Arial"/>
          <w:color w:val="000000"/>
        </w:rPr>
        <w:t>  </w:t>
      </w:r>
    </w:p>
    <w:p w:rsidR="007779FC" w:rsidRPr="00197AF3" w:rsidRDefault="007779FC" w:rsidP="00C31D20">
      <w:pPr>
        <w:pStyle w:val="NormalWeb"/>
        <w:spacing w:before="0" w:beforeAutospacing="0" w:after="0" w:afterAutospacing="0" w:line="254" w:lineRule="atLeast"/>
        <w:contextualSpacing/>
        <w:jc w:val="both"/>
        <w:rPr>
          <w:rFonts w:ascii="Arial" w:hAnsi="Arial" w:cs="Arial"/>
          <w:color w:val="000000"/>
        </w:rPr>
      </w:pPr>
      <w:r w:rsidRPr="00197AF3">
        <w:rPr>
          <w:rFonts w:ascii="Arial" w:hAnsi="Arial" w:cs="Arial"/>
          <w:color w:val="000000"/>
        </w:rPr>
        <w:t>En el evento en que los recursos depositados en el FEPC sean insuficientes para atender los pagos a cargo de dicho fondo, el administrador deberá obtener autorización del Comité Directivo del Fondo</w:t>
      </w:r>
      <w:r w:rsidR="00FD2B73" w:rsidRPr="00197AF3">
        <w:rPr>
          <w:rFonts w:ascii="Arial" w:hAnsi="Arial" w:cs="Arial"/>
          <w:color w:val="000000"/>
        </w:rPr>
        <w:t xml:space="preserve">, del Ministerio </w:t>
      </w:r>
      <w:r w:rsidR="00F82EA6">
        <w:rPr>
          <w:rFonts w:ascii="Arial" w:hAnsi="Arial" w:cs="Arial"/>
          <w:color w:val="000000"/>
        </w:rPr>
        <w:t xml:space="preserve">de Hacienda y Credito Publico, </w:t>
      </w:r>
      <w:r w:rsidR="00F82EA6" w:rsidRPr="00197AF3">
        <w:rPr>
          <w:rFonts w:ascii="Arial" w:hAnsi="Arial" w:cs="Arial"/>
          <w:color w:val="000000"/>
        </w:rPr>
        <w:t>revisión</w:t>
      </w:r>
      <w:r w:rsidR="00FD2B73" w:rsidRPr="00197AF3">
        <w:rPr>
          <w:rFonts w:ascii="Arial" w:hAnsi="Arial" w:cs="Arial"/>
          <w:color w:val="000000"/>
        </w:rPr>
        <w:t xml:space="preserve"> </w:t>
      </w:r>
      <w:r w:rsidR="00F82EA6">
        <w:rPr>
          <w:rFonts w:ascii="Arial" w:hAnsi="Arial" w:cs="Arial"/>
          <w:color w:val="000000"/>
        </w:rPr>
        <w:t xml:space="preserve">y verificado </w:t>
      </w:r>
      <w:r w:rsidR="00FD2B73" w:rsidRPr="00197AF3">
        <w:rPr>
          <w:rFonts w:ascii="Arial" w:hAnsi="Arial" w:cs="Arial"/>
          <w:color w:val="000000"/>
        </w:rPr>
        <w:t xml:space="preserve">del </w:t>
      </w:r>
      <w:r w:rsidR="00FD2B73" w:rsidRPr="00197AF3">
        <w:rPr>
          <w:rFonts w:ascii="Arial" w:hAnsi="Arial" w:cs="Arial"/>
          <w:color w:val="000000" w:themeColor="text1"/>
        </w:rPr>
        <w:t>Observatorio de Control y Vigilancia de las Finanzas y las Políticas Públicas</w:t>
      </w:r>
      <w:r w:rsidR="00FD2B73" w:rsidRPr="00197AF3">
        <w:rPr>
          <w:rFonts w:ascii="Arial" w:hAnsi="Arial" w:cs="Arial"/>
          <w:b/>
          <w:bCs/>
          <w:color w:val="000000" w:themeColor="text1"/>
        </w:rPr>
        <w:t xml:space="preserve"> - </w:t>
      </w:r>
      <w:r w:rsidR="00FD2B73" w:rsidRPr="00197AF3">
        <w:rPr>
          <w:rFonts w:ascii="Arial" w:hAnsi="Arial" w:cs="Arial"/>
          <w:color w:val="000000" w:themeColor="text1"/>
          <w:shd w:val="clear" w:color="auto" w:fill="FFFFFF"/>
        </w:rPr>
        <w:t>Contraloría General de la República</w:t>
      </w:r>
      <w:r w:rsidRPr="00197AF3">
        <w:rPr>
          <w:rFonts w:ascii="Arial" w:hAnsi="Arial" w:cs="Arial"/>
          <w:color w:val="000000"/>
        </w:rPr>
        <w:t xml:space="preserve"> para solicitar a la Nación el otorgamiento de créditos extraordinarios</w:t>
      </w:r>
      <w:r w:rsidR="00FD2B73" w:rsidRPr="00197AF3">
        <w:rPr>
          <w:rFonts w:ascii="Arial" w:hAnsi="Arial" w:cs="Arial"/>
          <w:color w:val="000000"/>
        </w:rPr>
        <w:t xml:space="preserve">. </w:t>
      </w:r>
      <w:r w:rsidRPr="00197AF3">
        <w:rPr>
          <w:rFonts w:ascii="Arial" w:hAnsi="Arial" w:cs="Arial"/>
          <w:color w:val="000000"/>
        </w:rPr>
        <w:t xml:space="preserve"> </w:t>
      </w:r>
    </w:p>
    <w:p w:rsidR="007779FC" w:rsidRPr="00197AF3" w:rsidRDefault="007779FC" w:rsidP="00C31D20">
      <w:pPr>
        <w:pStyle w:val="NormalWeb"/>
        <w:spacing w:before="0" w:beforeAutospacing="0" w:after="0" w:afterAutospacing="0" w:line="254" w:lineRule="atLeast"/>
        <w:contextualSpacing/>
        <w:jc w:val="both"/>
        <w:rPr>
          <w:rFonts w:ascii="Arial" w:hAnsi="Arial" w:cs="Arial"/>
          <w:color w:val="000000"/>
        </w:rPr>
      </w:pPr>
    </w:p>
    <w:p w:rsidR="007779FC" w:rsidRPr="00197AF3" w:rsidRDefault="00FD2B73" w:rsidP="00C31D20">
      <w:pPr>
        <w:pStyle w:val="NormalWeb"/>
        <w:spacing w:before="0" w:beforeAutospacing="0" w:after="0" w:afterAutospacing="0" w:line="254" w:lineRule="atLeast"/>
        <w:contextualSpacing/>
        <w:jc w:val="both"/>
        <w:rPr>
          <w:rFonts w:ascii="Arial" w:hAnsi="Arial" w:cs="Arial"/>
          <w:color w:val="000000"/>
        </w:rPr>
      </w:pPr>
      <w:bookmarkStart w:id="11" w:name="ver_30177559"/>
      <w:bookmarkStart w:id="12" w:name="ver_30056905"/>
      <w:bookmarkEnd w:id="10"/>
      <w:bookmarkEnd w:id="11"/>
      <w:r w:rsidRPr="00197AF3">
        <w:rPr>
          <w:rStyle w:val="Textoennegrita"/>
          <w:rFonts w:ascii="Arial" w:hAnsi="Arial" w:cs="Arial"/>
          <w:color w:val="000000"/>
        </w:rPr>
        <w:t>Artículo 6.5</w:t>
      </w:r>
      <w:r w:rsidRPr="00197AF3">
        <w:rPr>
          <w:rFonts w:ascii="Arial" w:eastAsia="Arial" w:hAnsi="Arial" w:cs="Arial"/>
          <w:b/>
          <w:color w:val="000000" w:themeColor="text1"/>
        </w:rPr>
        <w:t>º</w:t>
      </w:r>
      <w:r w:rsidRPr="00197AF3">
        <w:rPr>
          <w:rStyle w:val="Textoennegrita"/>
          <w:rFonts w:ascii="Arial" w:hAnsi="Arial" w:cs="Arial"/>
          <w:color w:val="000000"/>
        </w:rPr>
        <w:t>.</w:t>
      </w:r>
      <w:r w:rsidR="007779FC" w:rsidRPr="00197AF3">
        <w:rPr>
          <w:rStyle w:val="Textoennegrita"/>
          <w:rFonts w:ascii="Arial" w:hAnsi="Arial" w:cs="Arial"/>
          <w:color w:val="000000"/>
        </w:rPr>
        <w:t xml:space="preserve"> Pagos de la Posición Neta que causa la Contribución Parafiscal al Combustible.</w:t>
      </w:r>
      <w:r w:rsidR="007779FC" w:rsidRPr="00197AF3">
        <w:rPr>
          <w:rFonts w:ascii="Arial" w:hAnsi="Arial" w:cs="Arial"/>
          <w:color w:val="000000"/>
        </w:rPr>
        <w:t> En caso de que se cause la contribución parafiscal al combustible, el Ministerio de Minas y Energía</w:t>
      </w:r>
      <w:r w:rsidRPr="00197AF3">
        <w:rPr>
          <w:rFonts w:ascii="Arial" w:hAnsi="Arial" w:cs="Arial"/>
          <w:color w:val="000000"/>
        </w:rPr>
        <w:t xml:space="preserve"> y Ministerio de Hacienda y Credito Publico y con previa revision del </w:t>
      </w:r>
      <w:r w:rsidRPr="00197AF3">
        <w:rPr>
          <w:rFonts w:ascii="Arial" w:hAnsi="Arial" w:cs="Arial"/>
          <w:color w:val="000000" w:themeColor="text1"/>
        </w:rPr>
        <w:t>Observatorio de Control y Vigilancia de las Finanzas y las Políticas Públicas</w:t>
      </w:r>
      <w:r w:rsidRPr="00197AF3">
        <w:rPr>
          <w:rFonts w:ascii="Arial" w:hAnsi="Arial" w:cs="Arial"/>
          <w:b/>
          <w:bCs/>
          <w:color w:val="000000" w:themeColor="text1"/>
        </w:rPr>
        <w:t xml:space="preserve"> - </w:t>
      </w:r>
      <w:r w:rsidRPr="00197AF3">
        <w:rPr>
          <w:rFonts w:ascii="Arial" w:hAnsi="Arial" w:cs="Arial"/>
          <w:color w:val="000000" w:themeColor="text1"/>
          <w:shd w:val="clear" w:color="auto" w:fill="FFFFFF"/>
        </w:rPr>
        <w:t>Contraloría General de la República</w:t>
      </w:r>
      <w:r w:rsidRPr="00197AF3">
        <w:rPr>
          <w:rFonts w:ascii="Arial" w:hAnsi="Arial" w:cs="Arial"/>
          <w:color w:val="000000"/>
        </w:rPr>
        <w:t xml:space="preserve"> </w:t>
      </w:r>
      <w:r w:rsidR="007779FC" w:rsidRPr="00197AF3">
        <w:rPr>
          <w:rFonts w:ascii="Arial" w:hAnsi="Arial" w:cs="Arial"/>
          <w:color w:val="000000"/>
        </w:rPr>
        <w:t>ordenará a cada refinador y/o importador mediante la resolución, el pago en pesos a favor de la Dirección General de Crédito Público y Tesoro Nacional con destino al FEPC, dentro de los 30 días calendario siguientes a la ejecutoria de dicha resolución y en la cuenta que sobre el particular defina la mencionada Dirección. </w:t>
      </w:r>
    </w:p>
    <w:p w:rsidR="007779FC" w:rsidRPr="00197AF3" w:rsidRDefault="007779FC" w:rsidP="00C31D20">
      <w:pPr>
        <w:pStyle w:val="NormalWeb"/>
        <w:spacing w:before="0" w:beforeAutospacing="0" w:after="0" w:afterAutospacing="0" w:line="254" w:lineRule="atLeast"/>
        <w:contextualSpacing/>
        <w:jc w:val="both"/>
        <w:rPr>
          <w:rFonts w:ascii="Arial" w:hAnsi="Arial" w:cs="Arial"/>
          <w:color w:val="000000"/>
        </w:rPr>
      </w:pPr>
      <w:r w:rsidRPr="00197AF3">
        <w:rPr>
          <w:rFonts w:ascii="Arial" w:hAnsi="Arial" w:cs="Arial"/>
          <w:color w:val="000000"/>
        </w:rPr>
        <w:t>  </w:t>
      </w:r>
    </w:p>
    <w:p w:rsidR="007779FC" w:rsidRPr="00197AF3" w:rsidRDefault="007779FC" w:rsidP="00C31D20">
      <w:pPr>
        <w:pStyle w:val="NormalWeb"/>
        <w:spacing w:before="0" w:beforeAutospacing="0" w:after="0" w:afterAutospacing="0" w:line="254" w:lineRule="atLeast"/>
        <w:contextualSpacing/>
        <w:jc w:val="both"/>
        <w:rPr>
          <w:rFonts w:ascii="Arial" w:hAnsi="Arial" w:cs="Arial"/>
          <w:color w:val="000000"/>
        </w:rPr>
      </w:pPr>
      <w:r w:rsidRPr="00197AF3">
        <w:rPr>
          <w:rStyle w:val="Textoennegrita"/>
          <w:rFonts w:ascii="Arial" w:hAnsi="Arial" w:cs="Arial"/>
          <w:color w:val="000000"/>
        </w:rPr>
        <w:t>Parágrafo.</w:t>
      </w:r>
      <w:r w:rsidRPr="00197AF3">
        <w:rPr>
          <w:rFonts w:ascii="Arial" w:hAnsi="Arial" w:cs="Arial"/>
          <w:color w:val="000000"/>
        </w:rPr>
        <w:t> Los sujetos pasivos de la contribución parafiscal al combustible que no transfieran oportunamente los recursos de los que trata este artículo a la entidad administradora, de conformidad con lo disp</w:t>
      </w:r>
      <w:r w:rsidR="00F82EA6">
        <w:rPr>
          <w:rFonts w:ascii="Arial" w:hAnsi="Arial" w:cs="Arial"/>
          <w:color w:val="000000"/>
        </w:rPr>
        <w:t>uesto en la</w:t>
      </w:r>
      <w:r w:rsidRPr="00197AF3">
        <w:rPr>
          <w:rFonts w:ascii="Arial" w:hAnsi="Arial" w:cs="Arial"/>
          <w:color w:val="000000"/>
        </w:rPr>
        <w:t xml:space="preserve"> presente </w:t>
      </w:r>
      <w:r w:rsidR="00F82EA6">
        <w:rPr>
          <w:rFonts w:ascii="Arial" w:hAnsi="Arial" w:cs="Arial"/>
          <w:color w:val="000000"/>
        </w:rPr>
        <w:t>ley</w:t>
      </w:r>
      <w:r w:rsidRPr="00197AF3">
        <w:rPr>
          <w:rFonts w:ascii="Arial" w:hAnsi="Arial" w:cs="Arial"/>
          <w:color w:val="000000"/>
        </w:rPr>
        <w:t>, pagarán intereses de mora de acuerdo con lo previsto en la Ley 1066 de 2006. </w:t>
      </w:r>
    </w:p>
    <w:p w:rsidR="007779FC" w:rsidRPr="00197AF3" w:rsidRDefault="007779FC" w:rsidP="00C31D20">
      <w:pPr>
        <w:contextualSpacing/>
        <w:jc w:val="both"/>
        <w:rPr>
          <w:rFonts w:ascii="Arial" w:hAnsi="Arial" w:cs="Arial"/>
        </w:rPr>
      </w:pPr>
      <w:bookmarkStart w:id="13" w:name="ver_30177560"/>
      <w:bookmarkStart w:id="14" w:name="ver_30056906"/>
      <w:bookmarkEnd w:id="12"/>
      <w:bookmarkEnd w:id="13"/>
    </w:p>
    <w:p w:rsidR="007779FC" w:rsidRPr="00197AF3" w:rsidRDefault="00FD2B73" w:rsidP="00C31D20">
      <w:pPr>
        <w:pStyle w:val="NormalWeb"/>
        <w:spacing w:before="0" w:beforeAutospacing="0" w:after="0" w:afterAutospacing="0" w:line="254" w:lineRule="atLeast"/>
        <w:contextualSpacing/>
        <w:jc w:val="both"/>
        <w:rPr>
          <w:rFonts w:ascii="Arial" w:hAnsi="Arial" w:cs="Arial"/>
          <w:color w:val="000000"/>
        </w:rPr>
      </w:pPr>
      <w:r w:rsidRPr="00197AF3">
        <w:rPr>
          <w:rStyle w:val="Textoennegrita"/>
          <w:rFonts w:ascii="Arial" w:hAnsi="Arial" w:cs="Arial"/>
          <w:color w:val="000000"/>
        </w:rPr>
        <w:t>Artículo 6.6</w:t>
      </w:r>
      <w:r w:rsidRPr="00197AF3">
        <w:rPr>
          <w:rFonts w:ascii="Arial" w:eastAsia="Arial" w:hAnsi="Arial" w:cs="Arial"/>
          <w:b/>
          <w:color w:val="000000" w:themeColor="text1"/>
        </w:rPr>
        <w:t>º</w:t>
      </w:r>
      <w:r w:rsidRPr="00197AF3">
        <w:rPr>
          <w:rStyle w:val="Textoennegrita"/>
          <w:rFonts w:ascii="Arial" w:hAnsi="Arial" w:cs="Arial"/>
          <w:color w:val="000000"/>
        </w:rPr>
        <w:t>.</w:t>
      </w:r>
      <w:r w:rsidR="007779FC" w:rsidRPr="00197AF3">
        <w:rPr>
          <w:rStyle w:val="Textoennegrita"/>
          <w:rFonts w:ascii="Arial" w:hAnsi="Arial" w:cs="Arial"/>
          <w:color w:val="000000"/>
        </w:rPr>
        <w:t>Incompatibilidad. </w:t>
      </w:r>
      <w:r w:rsidR="007779FC" w:rsidRPr="00197AF3">
        <w:rPr>
          <w:rFonts w:ascii="Arial" w:hAnsi="Arial" w:cs="Arial"/>
          <w:color w:val="000000"/>
        </w:rPr>
        <w:t>No se podrán generar dobles pagos a favor de los importadores y/o refinadores en virtud de la aplicación de</w:t>
      </w:r>
      <w:r w:rsidRPr="00197AF3">
        <w:rPr>
          <w:rFonts w:ascii="Arial" w:hAnsi="Arial" w:cs="Arial"/>
          <w:color w:val="000000"/>
        </w:rPr>
        <w:t xml:space="preserve"> </w:t>
      </w:r>
      <w:r w:rsidR="007779FC" w:rsidRPr="00197AF3">
        <w:rPr>
          <w:rFonts w:ascii="Arial" w:hAnsi="Arial" w:cs="Arial"/>
          <w:color w:val="000000"/>
        </w:rPr>
        <w:t>l</w:t>
      </w:r>
      <w:r w:rsidRPr="00197AF3">
        <w:rPr>
          <w:rFonts w:ascii="Arial" w:hAnsi="Arial" w:cs="Arial"/>
          <w:color w:val="000000"/>
        </w:rPr>
        <w:t>a</w:t>
      </w:r>
      <w:r w:rsidR="007779FC" w:rsidRPr="00197AF3">
        <w:rPr>
          <w:rFonts w:ascii="Arial" w:hAnsi="Arial" w:cs="Arial"/>
          <w:color w:val="000000"/>
        </w:rPr>
        <w:t xml:space="preserve"> presente </w:t>
      </w:r>
      <w:r w:rsidRPr="00197AF3">
        <w:rPr>
          <w:rFonts w:ascii="Arial" w:hAnsi="Arial" w:cs="Arial"/>
          <w:color w:val="000000"/>
        </w:rPr>
        <w:t>ley</w:t>
      </w:r>
      <w:r w:rsidR="007779FC" w:rsidRPr="00197AF3">
        <w:rPr>
          <w:rFonts w:ascii="Arial" w:hAnsi="Arial" w:cs="Arial"/>
          <w:color w:val="000000"/>
        </w:rPr>
        <w:t>, proferida por el Ministerio de Minas y Energía,</w:t>
      </w:r>
      <w:r w:rsidRPr="00197AF3">
        <w:rPr>
          <w:rFonts w:ascii="Arial" w:hAnsi="Arial" w:cs="Arial"/>
          <w:color w:val="000000"/>
        </w:rPr>
        <w:t xml:space="preserve"> Ministerio de Hacienda y Credito Publico y con revision del </w:t>
      </w:r>
      <w:r w:rsidRPr="00197AF3">
        <w:rPr>
          <w:rFonts w:ascii="Arial" w:hAnsi="Arial" w:cs="Arial"/>
          <w:color w:val="000000" w:themeColor="text1"/>
        </w:rPr>
        <w:t>Observatorio de Control y Vigilancia de las Finanzas y las Políticas Públicas</w:t>
      </w:r>
      <w:r w:rsidRPr="00197AF3">
        <w:rPr>
          <w:rFonts w:ascii="Arial" w:hAnsi="Arial" w:cs="Arial"/>
          <w:b/>
          <w:bCs/>
          <w:color w:val="000000" w:themeColor="text1"/>
        </w:rPr>
        <w:t xml:space="preserve"> - </w:t>
      </w:r>
      <w:r w:rsidRPr="00197AF3">
        <w:rPr>
          <w:rFonts w:ascii="Arial" w:hAnsi="Arial" w:cs="Arial"/>
          <w:color w:val="000000" w:themeColor="text1"/>
          <w:shd w:val="clear" w:color="auto" w:fill="FFFFFF"/>
        </w:rPr>
        <w:t>Contraloría General de la República</w:t>
      </w:r>
      <w:r w:rsidR="007779FC" w:rsidRPr="00197AF3">
        <w:rPr>
          <w:rFonts w:ascii="Arial" w:hAnsi="Arial" w:cs="Arial"/>
          <w:color w:val="000000"/>
        </w:rPr>
        <w:t xml:space="preserve"> o las normas que la modifiquen o sustituyan. </w:t>
      </w:r>
    </w:p>
    <w:p w:rsidR="007779FC" w:rsidRPr="00197AF3" w:rsidRDefault="007779FC" w:rsidP="00C31D20">
      <w:pPr>
        <w:pStyle w:val="NormalWeb"/>
        <w:spacing w:before="0" w:beforeAutospacing="0" w:after="0" w:afterAutospacing="0" w:line="254" w:lineRule="atLeast"/>
        <w:contextualSpacing/>
        <w:jc w:val="both"/>
        <w:rPr>
          <w:rFonts w:ascii="Arial" w:hAnsi="Arial" w:cs="Arial"/>
          <w:color w:val="000000"/>
        </w:rPr>
      </w:pPr>
      <w:r w:rsidRPr="00197AF3">
        <w:rPr>
          <w:rFonts w:ascii="Arial" w:hAnsi="Arial" w:cs="Arial"/>
          <w:color w:val="000000"/>
        </w:rPr>
        <w:t>  </w:t>
      </w:r>
    </w:p>
    <w:p w:rsidR="007779FC" w:rsidRPr="00197AF3" w:rsidRDefault="000B73FC" w:rsidP="00C31D20">
      <w:pPr>
        <w:pStyle w:val="NormalWeb"/>
        <w:spacing w:before="0" w:beforeAutospacing="0" w:after="0" w:afterAutospacing="0" w:line="254" w:lineRule="atLeast"/>
        <w:contextualSpacing/>
        <w:jc w:val="both"/>
        <w:rPr>
          <w:rFonts w:ascii="Arial" w:hAnsi="Arial" w:cs="Arial"/>
          <w:color w:val="000000"/>
        </w:rPr>
      </w:pPr>
      <w:bookmarkStart w:id="15" w:name="ver_30177561"/>
      <w:bookmarkStart w:id="16" w:name="ver_30056907"/>
      <w:bookmarkEnd w:id="14"/>
      <w:bookmarkEnd w:id="15"/>
      <w:r w:rsidRPr="00197AF3">
        <w:rPr>
          <w:rStyle w:val="Textoennegrita"/>
          <w:rFonts w:ascii="Arial" w:hAnsi="Arial" w:cs="Arial"/>
          <w:color w:val="000000"/>
        </w:rPr>
        <w:t>Artículo 6.7</w:t>
      </w:r>
      <w:r w:rsidRPr="00197AF3">
        <w:rPr>
          <w:rFonts w:ascii="Arial" w:eastAsia="Arial" w:hAnsi="Arial" w:cs="Arial"/>
          <w:b/>
          <w:color w:val="000000" w:themeColor="text1"/>
        </w:rPr>
        <w:t>º.</w:t>
      </w:r>
      <w:r w:rsidR="007779FC" w:rsidRPr="00197AF3">
        <w:rPr>
          <w:rStyle w:val="Textoennegrita"/>
          <w:rFonts w:ascii="Arial" w:hAnsi="Arial" w:cs="Arial"/>
          <w:color w:val="000000"/>
        </w:rPr>
        <w:t xml:space="preserve"> Comité Directivo.</w:t>
      </w:r>
      <w:r w:rsidR="007779FC" w:rsidRPr="00197AF3">
        <w:rPr>
          <w:rFonts w:ascii="Arial" w:hAnsi="Arial" w:cs="Arial"/>
          <w:color w:val="000000"/>
        </w:rPr>
        <w:t> El FEPC tendrá un Comité Directivo conformado de la siguiente forma: </w:t>
      </w:r>
    </w:p>
    <w:p w:rsidR="007779FC" w:rsidRPr="00197AF3" w:rsidRDefault="007779FC" w:rsidP="00C31D20">
      <w:pPr>
        <w:pStyle w:val="NormalWeb"/>
        <w:spacing w:before="0" w:beforeAutospacing="0" w:after="0" w:afterAutospacing="0" w:line="254" w:lineRule="atLeast"/>
        <w:contextualSpacing/>
        <w:jc w:val="both"/>
        <w:rPr>
          <w:rFonts w:ascii="Arial" w:hAnsi="Arial" w:cs="Arial"/>
          <w:color w:val="000000"/>
        </w:rPr>
      </w:pPr>
      <w:r w:rsidRPr="00197AF3">
        <w:rPr>
          <w:rFonts w:ascii="Arial" w:hAnsi="Arial" w:cs="Arial"/>
          <w:color w:val="000000"/>
        </w:rPr>
        <w:t>  </w:t>
      </w:r>
    </w:p>
    <w:p w:rsidR="007779FC" w:rsidRPr="00197AF3" w:rsidRDefault="007779FC" w:rsidP="00C31D20">
      <w:pPr>
        <w:pStyle w:val="NormalWeb"/>
        <w:spacing w:before="0" w:beforeAutospacing="0" w:after="0" w:afterAutospacing="0" w:line="254" w:lineRule="atLeast"/>
        <w:contextualSpacing/>
        <w:jc w:val="both"/>
        <w:rPr>
          <w:rFonts w:ascii="Arial" w:hAnsi="Arial" w:cs="Arial"/>
          <w:color w:val="000000"/>
        </w:rPr>
      </w:pPr>
      <w:r w:rsidRPr="00197AF3">
        <w:rPr>
          <w:rFonts w:ascii="Arial" w:hAnsi="Arial" w:cs="Arial"/>
          <w:color w:val="000000"/>
        </w:rPr>
        <w:t>a) El Ministro de Hacienda y Crédito Público o su delegado, quien lo presidirá;   </w:t>
      </w:r>
    </w:p>
    <w:p w:rsidR="007779FC" w:rsidRPr="00197AF3" w:rsidRDefault="007779FC" w:rsidP="00C31D20">
      <w:pPr>
        <w:pStyle w:val="NormalWeb"/>
        <w:spacing w:before="0" w:beforeAutospacing="0" w:after="0" w:afterAutospacing="0" w:line="254" w:lineRule="atLeast"/>
        <w:contextualSpacing/>
        <w:jc w:val="both"/>
        <w:rPr>
          <w:rFonts w:ascii="Arial" w:hAnsi="Arial" w:cs="Arial"/>
          <w:color w:val="000000"/>
        </w:rPr>
      </w:pPr>
      <w:r w:rsidRPr="00197AF3">
        <w:rPr>
          <w:rFonts w:ascii="Arial" w:hAnsi="Arial" w:cs="Arial"/>
          <w:color w:val="000000"/>
        </w:rPr>
        <w:t>b) El Ministro de Minas y Energía o su delegado;   </w:t>
      </w:r>
    </w:p>
    <w:p w:rsidR="007779FC" w:rsidRPr="00197AF3" w:rsidRDefault="007779FC" w:rsidP="00C31D20">
      <w:pPr>
        <w:pStyle w:val="NormalWeb"/>
        <w:spacing w:before="0" w:beforeAutospacing="0" w:after="0" w:afterAutospacing="0" w:line="254" w:lineRule="atLeast"/>
        <w:contextualSpacing/>
        <w:jc w:val="both"/>
        <w:rPr>
          <w:rFonts w:ascii="Arial" w:hAnsi="Arial" w:cs="Arial"/>
          <w:color w:val="000000"/>
        </w:rPr>
      </w:pPr>
      <w:r w:rsidRPr="00197AF3">
        <w:rPr>
          <w:rFonts w:ascii="Arial" w:hAnsi="Arial" w:cs="Arial"/>
          <w:color w:val="000000"/>
        </w:rPr>
        <w:t>c) El Viceministro Técnico del Ministerio de Hacienda y Crédito Público o su delegado;   </w:t>
      </w:r>
    </w:p>
    <w:p w:rsidR="007779FC" w:rsidRPr="00197AF3" w:rsidRDefault="007779FC" w:rsidP="00C31D20">
      <w:pPr>
        <w:pStyle w:val="NormalWeb"/>
        <w:spacing w:before="0" w:beforeAutospacing="0" w:after="0" w:afterAutospacing="0" w:line="254" w:lineRule="atLeast"/>
        <w:contextualSpacing/>
        <w:jc w:val="both"/>
        <w:rPr>
          <w:rFonts w:ascii="Arial" w:hAnsi="Arial" w:cs="Arial"/>
          <w:color w:val="000000"/>
        </w:rPr>
      </w:pPr>
      <w:r w:rsidRPr="00197AF3">
        <w:rPr>
          <w:rFonts w:ascii="Arial" w:hAnsi="Arial" w:cs="Arial"/>
          <w:color w:val="000000"/>
        </w:rPr>
        <w:t>d) El Viceministro de Energía del Ministerio de Minas y Energía o su delegado;   </w:t>
      </w:r>
    </w:p>
    <w:p w:rsidR="007779FC" w:rsidRPr="00197AF3" w:rsidRDefault="007779FC" w:rsidP="00C31D20">
      <w:pPr>
        <w:pStyle w:val="NormalWeb"/>
        <w:spacing w:before="0" w:beforeAutospacing="0" w:after="0" w:afterAutospacing="0" w:line="254" w:lineRule="atLeast"/>
        <w:contextualSpacing/>
        <w:jc w:val="both"/>
        <w:rPr>
          <w:rFonts w:ascii="Arial" w:hAnsi="Arial" w:cs="Arial"/>
          <w:color w:val="000000"/>
        </w:rPr>
      </w:pPr>
      <w:r w:rsidRPr="00197AF3">
        <w:rPr>
          <w:rFonts w:ascii="Arial" w:hAnsi="Arial" w:cs="Arial"/>
          <w:color w:val="000000"/>
        </w:rPr>
        <w:lastRenderedPageBreak/>
        <w:t>e) El Director General de Política Macroeconómica o su delegado;   </w:t>
      </w:r>
    </w:p>
    <w:p w:rsidR="0059755C" w:rsidRDefault="007779FC" w:rsidP="00C31D20">
      <w:pPr>
        <w:pStyle w:val="NormalWeb"/>
        <w:spacing w:before="0" w:beforeAutospacing="0" w:after="0" w:afterAutospacing="0" w:line="254" w:lineRule="atLeast"/>
        <w:contextualSpacing/>
        <w:jc w:val="both"/>
        <w:rPr>
          <w:rFonts w:ascii="Arial" w:hAnsi="Arial" w:cs="Arial"/>
          <w:color w:val="000000"/>
        </w:rPr>
      </w:pPr>
      <w:r w:rsidRPr="00197AF3">
        <w:rPr>
          <w:rFonts w:ascii="Arial" w:hAnsi="Arial" w:cs="Arial"/>
          <w:color w:val="000000"/>
        </w:rPr>
        <w:t>f) El Director de Hidrocarburos del Ministerio de Minas y Energía o su delegado; y </w:t>
      </w:r>
    </w:p>
    <w:p w:rsidR="000B73FC" w:rsidRPr="00197AF3" w:rsidRDefault="007779FC" w:rsidP="00C31D20">
      <w:pPr>
        <w:pStyle w:val="NormalWeb"/>
        <w:spacing w:before="0" w:beforeAutospacing="0" w:after="0" w:afterAutospacing="0" w:line="254" w:lineRule="atLeast"/>
        <w:contextualSpacing/>
        <w:jc w:val="both"/>
        <w:rPr>
          <w:rFonts w:ascii="Arial" w:hAnsi="Arial" w:cs="Arial"/>
          <w:color w:val="000000"/>
        </w:rPr>
      </w:pPr>
      <w:r w:rsidRPr="00197AF3">
        <w:rPr>
          <w:rFonts w:ascii="Arial" w:hAnsi="Arial" w:cs="Arial"/>
          <w:color w:val="000000"/>
        </w:rPr>
        <w:t>g) El Director General de Crédito Público y Tesoro Nacional del Ministerio de Hacienda y Crédito Público o su delegado. </w:t>
      </w:r>
    </w:p>
    <w:p w:rsidR="000B73FC" w:rsidRPr="00197AF3" w:rsidRDefault="000B73FC" w:rsidP="00C31D20">
      <w:pPr>
        <w:pStyle w:val="NormalWeb"/>
        <w:spacing w:before="0" w:beforeAutospacing="0" w:after="0" w:afterAutospacing="0" w:line="254" w:lineRule="atLeast"/>
        <w:contextualSpacing/>
        <w:jc w:val="both"/>
        <w:rPr>
          <w:rFonts w:ascii="Arial" w:hAnsi="Arial" w:cs="Arial"/>
          <w:color w:val="000000"/>
        </w:rPr>
      </w:pPr>
      <w:r w:rsidRPr="006261F6">
        <w:rPr>
          <w:rFonts w:ascii="Arial" w:hAnsi="Arial" w:cs="Arial"/>
          <w:color w:val="000000"/>
        </w:rPr>
        <w:t>h) El Director</w:t>
      </w:r>
      <w:r w:rsidRPr="00197AF3">
        <w:rPr>
          <w:rFonts w:ascii="Arial" w:hAnsi="Arial" w:cs="Arial"/>
          <w:color w:val="000000"/>
        </w:rPr>
        <w:t xml:space="preserve"> del  </w:t>
      </w:r>
      <w:r w:rsidRPr="00197AF3">
        <w:rPr>
          <w:rFonts w:ascii="Arial" w:hAnsi="Arial" w:cs="Arial"/>
          <w:color w:val="000000" w:themeColor="text1"/>
        </w:rPr>
        <w:t>Observatorio de Control y Vigilancia de las Finanzas y las Políticas Públicas</w:t>
      </w:r>
      <w:r w:rsidRPr="00197AF3">
        <w:rPr>
          <w:rFonts w:ascii="Arial" w:hAnsi="Arial" w:cs="Arial"/>
          <w:b/>
          <w:bCs/>
          <w:color w:val="000000" w:themeColor="text1"/>
        </w:rPr>
        <w:t xml:space="preserve"> - </w:t>
      </w:r>
      <w:r w:rsidRPr="00197AF3">
        <w:rPr>
          <w:rFonts w:ascii="Arial" w:hAnsi="Arial" w:cs="Arial"/>
          <w:color w:val="000000" w:themeColor="text1"/>
          <w:shd w:val="clear" w:color="auto" w:fill="FFFFFF"/>
        </w:rPr>
        <w:t>Contraloría General de la República</w:t>
      </w:r>
    </w:p>
    <w:p w:rsidR="007779FC" w:rsidRPr="00197AF3" w:rsidRDefault="007779FC" w:rsidP="00C31D20">
      <w:pPr>
        <w:pStyle w:val="NormalWeb"/>
        <w:spacing w:before="0" w:beforeAutospacing="0" w:after="0" w:afterAutospacing="0" w:line="254" w:lineRule="atLeast"/>
        <w:contextualSpacing/>
        <w:jc w:val="both"/>
        <w:rPr>
          <w:rFonts w:ascii="Arial" w:hAnsi="Arial" w:cs="Arial"/>
          <w:color w:val="000000"/>
        </w:rPr>
      </w:pPr>
      <w:r w:rsidRPr="00197AF3">
        <w:rPr>
          <w:rFonts w:ascii="Arial" w:hAnsi="Arial" w:cs="Arial"/>
          <w:color w:val="000000"/>
        </w:rPr>
        <w:t>  </w:t>
      </w:r>
    </w:p>
    <w:p w:rsidR="007779FC" w:rsidRPr="00197AF3" w:rsidRDefault="007779FC" w:rsidP="00C31D20">
      <w:pPr>
        <w:pStyle w:val="NormalWeb"/>
        <w:spacing w:before="0" w:beforeAutospacing="0" w:after="0" w:afterAutospacing="0" w:line="254" w:lineRule="atLeast"/>
        <w:contextualSpacing/>
        <w:jc w:val="both"/>
        <w:rPr>
          <w:rFonts w:ascii="Arial" w:hAnsi="Arial" w:cs="Arial"/>
          <w:color w:val="000000"/>
        </w:rPr>
      </w:pPr>
      <w:r w:rsidRPr="00197AF3">
        <w:rPr>
          <w:rStyle w:val="Textoennegrita"/>
          <w:rFonts w:ascii="Arial" w:hAnsi="Arial" w:cs="Arial"/>
          <w:color w:val="000000"/>
        </w:rPr>
        <w:t>Parágrafo 1°. </w:t>
      </w:r>
      <w:r w:rsidRPr="00197AF3">
        <w:rPr>
          <w:rFonts w:ascii="Arial" w:hAnsi="Arial" w:cs="Arial"/>
          <w:color w:val="000000"/>
        </w:rPr>
        <w:t>Los miembros del Comité Directivo podrán delegar su asistencia, de conformidad con lo establecido en las normas legales vigentes. La Secretaría Técnica del Comité Directivo será ejercida por el Director de Hidrocarburos del Ministerio de Minas y Energía o su delegado, quien será el encargado de convocar las sesiones ordinarias y extraordinarias.   </w:t>
      </w:r>
    </w:p>
    <w:p w:rsidR="007779FC" w:rsidRPr="00197AF3" w:rsidRDefault="007779FC" w:rsidP="00C31D20">
      <w:pPr>
        <w:pStyle w:val="NormalWeb"/>
        <w:spacing w:before="0" w:beforeAutospacing="0" w:after="0" w:afterAutospacing="0" w:line="254" w:lineRule="atLeast"/>
        <w:contextualSpacing/>
        <w:jc w:val="both"/>
        <w:rPr>
          <w:rFonts w:ascii="Arial" w:hAnsi="Arial" w:cs="Arial"/>
          <w:color w:val="000000"/>
        </w:rPr>
      </w:pPr>
      <w:r w:rsidRPr="00197AF3">
        <w:rPr>
          <w:rFonts w:ascii="Arial" w:hAnsi="Arial" w:cs="Arial"/>
          <w:color w:val="000000"/>
        </w:rPr>
        <w:t>  </w:t>
      </w:r>
    </w:p>
    <w:p w:rsidR="007779FC" w:rsidRPr="00197AF3" w:rsidRDefault="007779FC" w:rsidP="00C31D20">
      <w:pPr>
        <w:pStyle w:val="NormalWeb"/>
        <w:spacing w:before="0" w:beforeAutospacing="0" w:after="0" w:afterAutospacing="0" w:line="254" w:lineRule="atLeast"/>
        <w:contextualSpacing/>
        <w:jc w:val="both"/>
        <w:rPr>
          <w:rFonts w:ascii="Arial" w:hAnsi="Arial" w:cs="Arial"/>
          <w:color w:val="000000"/>
        </w:rPr>
      </w:pPr>
      <w:r w:rsidRPr="00197AF3">
        <w:rPr>
          <w:rStyle w:val="Textoennegrita"/>
          <w:rFonts w:ascii="Arial" w:hAnsi="Arial" w:cs="Arial"/>
          <w:color w:val="000000"/>
        </w:rPr>
        <w:t>Parágrafo 2°.</w:t>
      </w:r>
      <w:r w:rsidRPr="00197AF3">
        <w:rPr>
          <w:rFonts w:ascii="Arial" w:hAnsi="Arial" w:cs="Arial"/>
          <w:color w:val="000000"/>
        </w:rPr>
        <w:t> El Director General de Crédito Público y Tesoro Nacional del Ministerio de Hacienda y Crédito Público o su delegado se abstendrán de deliberar y/o votar en el Comité Directivo, cuando se trate de autorizar al administrador de los recursos del FEPC para solicitar a la Nación el otorgamiento de los créditos extraordinarios, la emisión de los bonos u otros títulos de deuda pública del mismo y las modificaciones de las obligaciones de pago derivados de los pagarés otorgados a favor de la Nación. </w:t>
      </w:r>
    </w:p>
    <w:p w:rsidR="007779FC" w:rsidRPr="00197AF3" w:rsidRDefault="007779FC" w:rsidP="00C31D20">
      <w:pPr>
        <w:contextualSpacing/>
        <w:jc w:val="both"/>
        <w:rPr>
          <w:rFonts w:ascii="Arial" w:hAnsi="Arial" w:cs="Arial"/>
        </w:rPr>
      </w:pPr>
      <w:bookmarkStart w:id="17" w:name="ver_30177562"/>
      <w:bookmarkStart w:id="18" w:name="ver_30056908"/>
      <w:bookmarkEnd w:id="16"/>
      <w:bookmarkEnd w:id="17"/>
    </w:p>
    <w:p w:rsidR="007779FC" w:rsidRPr="00197AF3" w:rsidRDefault="000B73FC" w:rsidP="00C31D20">
      <w:pPr>
        <w:pStyle w:val="NormalWeb"/>
        <w:spacing w:before="0" w:beforeAutospacing="0" w:after="0" w:afterAutospacing="0" w:line="254" w:lineRule="atLeast"/>
        <w:contextualSpacing/>
        <w:jc w:val="both"/>
        <w:rPr>
          <w:rFonts w:ascii="Arial" w:hAnsi="Arial" w:cs="Arial"/>
          <w:color w:val="000000"/>
        </w:rPr>
      </w:pPr>
      <w:r w:rsidRPr="00197AF3">
        <w:rPr>
          <w:rStyle w:val="Textoennegrita"/>
          <w:rFonts w:ascii="Arial" w:hAnsi="Arial" w:cs="Arial"/>
          <w:color w:val="000000"/>
        </w:rPr>
        <w:t>Artículo 6.8</w:t>
      </w:r>
      <w:r w:rsidRPr="00197AF3">
        <w:rPr>
          <w:rFonts w:ascii="Arial" w:eastAsia="Arial" w:hAnsi="Arial" w:cs="Arial"/>
          <w:b/>
          <w:color w:val="000000" w:themeColor="text1"/>
        </w:rPr>
        <w:t>º.</w:t>
      </w:r>
      <w:r w:rsidRPr="00197AF3">
        <w:rPr>
          <w:rStyle w:val="Textoennegrita"/>
          <w:rFonts w:ascii="Arial" w:hAnsi="Arial" w:cs="Arial"/>
          <w:color w:val="000000"/>
        </w:rPr>
        <w:t xml:space="preserve"> </w:t>
      </w:r>
      <w:r w:rsidR="007779FC" w:rsidRPr="00197AF3">
        <w:rPr>
          <w:rStyle w:val="Textoennegrita"/>
          <w:rFonts w:ascii="Arial" w:hAnsi="Arial" w:cs="Arial"/>
          <w:color w:val="000000"/>
        </w:rPr>
        <w:t xml:space="preserve"> Facultades del administrador del FEPC</w:t>
      </w:r>
      <w:r w:rsidR="007779FC" w:rsidRPr="00197AF3">
        <w:rPr>
          <w:rFonts w:ascii="Arial" w:hAnsi="Arial" w:cs="Arial"/>
          <w:color w:val="000000"/>
        </w:rPr>
        <w:t>. Será facultad del Ministerio de Hacienda y Crédito Público</w:t>
      </w:r>
      <w:r w:rsidR="0011655A">
        <w:rPr>
          <w:rFonts w:ascii="Arial" w:hAnsi="Arial" w:cs="Arial"/>
          <w:color w:val="000000"/>
        </w:rPr>
        <w:t xml:space="preserve"> </w:t>
      </w:r>
      <w:r w:rsidR="0011655A" w:rsidRPr="00197AF3">
        <w:rPr>
          <w:rFonts w:ascii="Arial" w:hAnsi="Arial" w:cs="Arial"/>
          <w:color w:val="000000"/>
        </w:rPr>
        <w:t>en su calidad de administrador del FEPC</w:t>
      </w:r>
      <w:r w:rsidR="0011655A">
        <w:rPr>
          <w:rFonts w:ascii="Arial" w:hAnsi="Arial" w:cs="Arial"/>
          <w:color w:val="000000"/>
        </w:rPr>
        <w:t xml:space="preserve">, con previa revisión y verificación del </w:t>
      </w:r>
      <w:r w:rsidR="0011655A" w:rsidRPr="00D6779D">
        <w:rPr>
          <w:rFonts w:ascii="Arial" w:hAnsi="Arial" w:cs="Arial"/>
          <w:color w:val="000000" w:themeColor="text1"/>
        </w:rPr>
        <w:t>Observatorio de Control y Vigilancia de las Finanzas y las Políticas Públicas</w:t>
      </w:r>
      <w:r w:rsidR="0011655A" w:rsidRPr="00D6779D">
        <w:rPr>
          <w:rFonts w:ascii="Arial" w:hAnsi="Arial" w:cs="Arial"/>
          <w:bCs/>
          <w:color w:val="000000" w:themeColor="text1"/>
        </w:rPr>
        <w:t xml:space="preserve"> - </w:t>
      </w:r>
      <w:r w:rsidR="0011655A" w:rsidRPr="00D6779D">
        <w:rPr>
          <w:rFonts w:ascii="Arial" w:hAnsi="Arial" w:cs="Arial"/>
          <w:color w:val="000000" w:themeColor="text1"/>
          <w:shd w:val="clear" w:color="auto" w:fill="FFFFFF"/>
        </w:rPr>
        <w:t>Contraloría General de la República</w:t>
      </w:r>
      <w:r w:rsidR="0011655A">
        <w:rPr>
          <w:rFonts w:ascii="Arial" w:hAnsi="Arial" w:cs="Arial"/>
          <w:color w:val="000000"/>
        </w:rPr>
        <w:t xml:space="preserve">, </w:t>
      </w:r>
      <w:r w:rsidR="007779FC" w:rsidRPr="00197AF3">
        <w:rPr>
          <w:rFonts w:ascii="Arial" w:hAnsi="Arial" w:cs="Arial"/>
          <w:color w:val="000000"/>
        </w:rPr>
        <w:t>decidir sobre la compra y venta de títulos o valores financieros de acuerdo con la política de inversión que defina el Comité Directivo. </w:t>
      </w:r>
    </w:p>
    <w:p w:rsidR="007779FC" w:rsidRPr="00197AF3" w:rsidRDefault="007779FC" w:rsidP="00C31D20">
      <w:pPr>
        <w:pStyle w:val="NormalWeb"/>
        <w:spacing w:before="0" w:beforeAutospacing="0" w:after="0" w:afterAutospacing="0" w:line="254" w:lineRule="atLeast"/>
        <w:contextualSpacing/>
        <w:jc w:val="both"/>
        <w:rPr>
          <w:rFonts w:ascii="Arial" w:hAnsi="Arial" w:cs="Arial"/>
          <w:color w:val="000000"/>
        </w:rPr>
      </w:pPr>
      <w:r w:rsidRPr="00197AF3">
        <w:rPr>
          <w:rFonts w:ascii="Arial" w:hAnsi="Arial" w:cs="Arial"/>
          <w:color w:val="000000"/>
        </w:rPr>
        <w:t>  </w:t>
      </w:r>
    </w:p>
    <w:p w:rsidR="007779FC" w:rsidRPr="00197AF3" w:rsidRDefault="007779FC" w:rsidP="00C31D20">
      <w:pPr>
        <w:pStyle w:val="NormalWeb"/>
        <w:spacing w:before="0" w:beforeAutospacing="0" w:after="0" w:afterAutospacing="0" w:line="254" w:lineRule="atLeast"/>
        <w:contextualSpacing/>
        <w:jc w:val="both"/>
        <w:rPr>
          <w:rFonts w:ascii="Arial" w:hAnsi="Arial" w:cs="Arial"/>
          <w:color w:val="000000"/>
        </w:rPr>
      </w:pPr>
      <w:r w:rsidRPr="00197AF3">
        <w:rPr>
          <w:rStyle w:val="Textoennegrita"/>
          <w:rFonts w:ascii="Arial" w:hAnsi="Arial" w:cs="Arial"/>
          <w:color w:val="000000"/>
        </w:rPr>
        <w:t>Parágrafo</w:t>
      </w:r>
      <w:r w:rsidR="000B73FC" w:rsidRPr="00197AF3">
        <w:rPr>
          <w:rStyle w:val="Textoennegrita"/>
          <w:rFonts w:ascii="Arial" w:hAnsi="Arial" w:cs="Arial"/>
          <w:color w:val="000000"/>
        </w:rPr>
        <w:t xml:space="preserve"> 1</w:t>
      </w:r>
      <w:r w:rsidRPr="00197AF3">
        <w:rPr>
          <w:rFonts w:ascii="Arial" w:hAnsi="Arial" w:cs="Arial"/>
          <w:color w:val="000000"/>
        </w:rPr>
        <w:t>. Facúltase a la Dirección General de Crédito Público y Tesoro Nacional del Ministerio de Hacienda y Crédito Público para que, con cargo a los recursos del FEPC y en virtud de su administración</w:t>
      </w:r>
      <w:r w:rsidR="0011655A">
        <w:rPr>
          <w:rFonts w:ascii="Arial" w:hAnsi="Arial" w:cs="Arial"/>
          <w:color w:val="000000"/>
        </w:rPr>
        <w:t xml:space="preserve"> con previa revisión y verificación del </w:t>
      </w:r>
      <w:r w:rsidR="0011655A" w:rsidRPr="00D6779D">
        <w:rPr>
          <w:rFonts w:ascii="Arial" w:hAnsi="Arial" w:cs="Arial"/>
          <w:color w:val="000000" w:themeColor="text1"/>
        </w:rPr>
        <w:t>Observatorio de Control y Vigilancia de las Finanzas y las Políticas Públicas</w:t>
      </w:r>
      <w:r w:rsidR="0011655A" w:rsidRPr="00D6779D">
        <w:rPr>
          <w:rFonts w:ascii="Arial" w:hAnsi="Arial" w:cs="Arial"/>
          <w:bCs/>
          <w:color w:val="000000" w:themeColor="text1"/>
        </w:rPr>
        <w:t xml:space="preserve"> - </w:t>
      </w:r>
      <w:r w:rsidR="0011655A" w:rsidRPr="00D6779D">
        <w:rPr>
          <w:rFonts w:ascii="Arial" w:hAnsi="Arial" w:cs="Arial"/>
          <w:color w:val="000000" w:themeColor="text1"/>
          <w:shd w:val="clear" w:color="auto" w:fill="FFFFFF"/>
        </w:rPr>
        <w:t>Contraloría General de la República</w:t>
      </w:r>
      <w:r w:rsidRPr="00197AF3">
        <w:rPr>
          <w:rFonts w:ascii="Arial" w:hAnsi="Arial" w:cs="Arial"/>
          <w:color w:val="000000"/>
        </w:rPr>
        <w:t>, pueda negociar y ejecutar operaciones de cobertura sobre los productos objeto de estabilización así como de petróleo y sus derivados. </w:t>
      </w:r>
    </w:p>
    <w:p w:rsidR="007779FC" w:rsidRPr="00197AF3" w:rsidRDefault="007779FC" w:rsidP="00C31D20">
      <w:pPr>
        <w:pStyle w:val="NormalWeb"/>
        <w:spacing w:before="0" w:beforeAutospacing="0" w:after="0" w:afterAutospacing="0" w:line="254" w:lineRule="atLeast"/>
        <w:contextualSpacing/>
        <w:jc w:val="both"/>
        <w:rPr>
          <w:rFonts w:ascii="Arial" w:hAnsi="Arial" w:cs="Arial"/>
          <w:color w:val="000000"/>
        </w:rPr>
      </w:pPr>
      <w:r w:rsidRPr="00197AF3">
        <w:rPr>
          <w:rFonts w:ascii="Arial" w:hAnsi="Arial" w:cs="Arial"/>
          <w:color w:val="000000"/>
        </w:rPr>
        <w:t>  </w:t>
      </w:r>
      <w:bookmarkStart w:id="19" w:name="ver_30177563"/>
      <w:bookmarkStart w:id="20" w:name="ver_30056909"/>
      <w:bookmarkEnd w:id="18"/>
      <w:bookmarkEnd w:id="19"/>
    </w:p>
    <w:p w:rsidR="007779FC" w:rsidRPr="00197AF3" w:rsidRDefault="000B73FC" w:rsidP="00C31D20">
      <w:pPr>
        <w:pStyle w:val="NormalWeb"/>
        <w:spacing w:before="0" w:beforeAutospacing="0" w:after="0" w:afterAutospacing="0" w:line="254" w:lineRule="atLeast"/>
        <w:contextualSpacing/>
        <w:jc w:val="both"/>
        <w:rPr>
          <w:rFonts w:ascii="Arial" w:hAnsi="Arial" w:cs="Arial"/>
          <w:color w:val="000000"/>
        </w:rPr>
      </w:pPr>
      <w:r w:rsidRPr="00197AF3">
        <w:rPr>
          <w:rStyle w:val="Textoennegrita"/>
          <w:rFonts w:ascii="Arial" w:hAnsi="Arial" w:cs="Arial"/>
          <w:color w:val="000000"/>
        </w:rPr>
        <w:t>Parágrafo 2</w:t>
      </w:r>
      <w:r w:rsidRPr="00197AF3">
        <w:rPr>
          <w:rFonts w:ascii="Arial" w:hAnsi="Arial" w:cs="Arial"/>
          <w:color w:val="000000"/>
        </w:rPr>
        <w:t>.</w:t>
      </w:r>
      <w:r w:rsidR="007779FC" w:rsidRPr="00197AF3">
        <w:rPr>
          <w:rFonts w:ascii="Arial" w:hAnsi="Arial" w:cs="Arial"/>
          <w:color w:val="000000"/>
        </w:rPr>
        <w:t> El administrador está facultado para adelantar las operaciones autorizadas por vía general para la administración de los recursos del Tesoro Nacional. </w:t>
      </w:r>
    </w:p>
    <w:p w:rsidR="007779FC" w:rsidRPr="00197AF3" w:rsidRDefault="007779FC" w:rsidP="00C31D20">
      <w:pPr>
        <w:contextualSpacing/>
        <w:jc w:val="both"/>
        <w:rPr>
          <w:rFonts w:ascii="Arial" w:hAnsi="Arial" w:cs="Arial"/>
        </w:rPr>
      </w:pPr>
      <w:bookmarkStart w:id="21" w:name="ver_30177564"/>
      <w:bookmarkStart w:id="22" w:name="ver_30056910"/>
      <w:bookmarkEnd w:id="20"/>
      <w:bookmarkEnd w:id="21"/>
    </w:p>
    <w:p w:rsidR="007779FC" w:rsidRPr="00197AF3" w:rsidRDefault="000B73FC" w:rsidP="00C31D20">
      <w:pPr>
        <w:pStyle w:val="NormalWeb"/>
        <w:spacing w:before="0" w:beforeAutospacing="0" w:after="0" w:afterAutospacing="0" w:line="254" w:lineRule="atLeast"/>
        <w:contextualSpacing/>
        <w:jc w:val="both"/>
        <w:rPr>
          <w:rFonts w:ascii="Arial" w:hAnsi="Arial" w:cs="Arial"/>
          <w:color w:val="000000"/>
        </w:rPr>
      </w:pPr>
      <w:r w:rsidRPr="00197AF3">
        <w:rPr>
          <w:rStyle w:val="Textoennegrita"/>
          <w:rFonts w:ascii="Arial" w:hAnsi="Arial" w:cs="Arial"/>
          <w:color w:val="000000"/>
        </w:rPr>
        <w:lastRenderedPageBreak/>
        <w:t>Artículo 6.9</w:t>
      </w:r>
      <w:r w:rsidRPr="00197AF3">
        <w:rPr>
          <w:rFonts w:ascii="Arial" w:eastAsia="Arial" w:hAnsi="Arial" w:cs="Arial"/>
          <w:b/>
          <w:color w:val="000000" w:themeColor="text1"/>
        </w:rPr>
        <w:t>º.</w:t>
      </w:r>
      <w:r w:rsidR="007779FC" w:rsidRPr="00197AF3">
        <w:rPr>
          <w:rStyle w:val="Textoennegrita"/>
          <w:rFonts w:ascii="Arial" w:hAnsi="Arial" w:cs="Arial"/>
          <w:color w:val="000000"/>
        </w:rPr>
        <w:t xml:space="preserve"> Naturaleza de los recursos. </w:t>
      </w:r>
      <w:r w:rsidR="007779FC" w:rsidRPr="00197AF3">
        <w:rPr>
          <w:rFonts w:ascii="Arial" w:hAnsi="Arial" w:cs="Arial"/>
          <w:color w:val="000000"/>
        </w:rPr>
        <w:t>Los recursos existentes en el FEPC no forman parte de las reservas internacionales del país. </w:t>
      </w:r>
    </w:p>
    <w:p w:rsidR="007779FC" w:rsidRPr="00197AF3" w:rsidRDefault="007779FC" w:rsidP="00C31D20">
      <w:pPr>
        <w:pStyle w:val="NormalWeb"/>
        <w:spacing w:before="0" w:beforeAutospacing="0" w:after="0" w:afterAutospacing="0" w:line="254" w:lineRule="atLeast"/>
        <w:contextualSpacing/>
        <w:jc w:val="both"/>
        <w:rPr>
          <w:rFonts w:ascii="Arial" w:hAnsi="Arial" w:cs="Arial"/>
          <w:color w:val="000000"/>
        </w:rPr>
      </w:pPr>
      <w:r w:rsidRPr="00197AF3">
        <w:rPr>
          <w:rFonts w:ascii="Arial" w:hAnsi="Arial" w:cs="Arial"/>
          <w:color w:val="000000"/>
        </w:rPr>
        <w:t>  </w:t>
      </w:r>
    </w:p>
    <w:p w:rsidR="007779FC" w:rsidRPr="00197AF3" w:rsidRDefault="007779FC" w:rsidP="00C31D20">
      <w:pPr>
        <w:pStyle w:val="NormalWeb"/>
        <w:spacing w:before="0" w:beforeAutospacing="0" w:after="0" w:afterAutospacing="0" w:line="254" w:lineRule="atLeast"/>
        <w:contextualSpacing/>
        <w:jc w:val="both"/>
        <w:rPr>
          <w:rFonts w:ascii="Arial" w:hAnsi="Arial" w:cs="Arial"/>
          <w:color w:val="000000"/>
        </w:rPr>
      </w:pPr>
      <w:r w:rsidRPr="00197AF3">
        <w:rPr>
          <w:rFonts w:ascii="Arial" w:hAnsi="Arial" w:cs="Arial"/>
          <w:color w:val="000000"/>
        </w:rPr>
        <w:t>Así mismo, de acuerdo a lo establecido en el artículo 234 de la Ley 1819 de 2016, los ingresos y pagos efectivos con cargo a los recursos del FEPC, que realice la Dirección General de Crédito Público y Tesoro Nacional del Ministerio de Hacienda y Crédito Público, en su calidad de administrador de los recursos del FEPC, no generarán operación presupuestal alguna. </w:t>
      </w:r>
    </w:p>
    <w:p w:rsidR="007779FC" w:rsidRPr="006261F6" w:rsidRDefault="007779FC" w:rsidP="00C31D20">
      <w:pPr>
        <w:pStyle w:val="NormalWeb"/>
        <w:spacing w:before="0" w:beforeAutospacing="0" w:after="0" w:afterAutospacing="0" w:line="254" w:lineRule="atLeast"/>
        <w:contextualSpacing/>
        <w:jc w:val="both"/>
        <w:rPr>
          <w:rFonts w:ascii="Arial" w:hAnsi="Arial" w:cs="Arial"/>
          <w:color w:val="000000"/>
        </w:rPr>
      </w:pPr>
      <w:r w:rsidRPr="00197AF3">
        <w:rPr>
          <w:rFonts w:ascii="Arial" w:hAnsi="Arial" w:cs="Arial"/>
          <w:color w:val="000000"/>
        </w:rPr>
        <w:t>  </w:t>
      </w:r>
      <w:bookmarkStart w:id="23" w:name="ver_30177565"/>
      <w:bookmarkStart w:id="24" w:name="ver_30056911"/>
      <w:bookmarkEnd w:id="22"/>
      <w:bookmarkEnd w:id="23"/>
    </w:p>
    <w:p w:rsidR="007779FC" w:rsidRPr="00197AF3" w:rsidRDefault="006B0364" w:rsidP="00C31D20">
      <w:pPr>
        <w:pStyle w:val="NormalWeb"/>
        <w:spacing w:before="0" w:beforeAutospacing="0" w:after="0" w:afterAutospacing="0" w:line="254" w:lineRule="atLeast"/>
        <w:contextualSpacing/>
        <w:jc w:val="both"/>
        <w:rPr>
          <w:rFonts w:ascii="Arial" w:hAnsi="Arial" w:cs="Arial"/>
          <w:color w:val="000000"/>
        </w:rPr>
      </w:pPr>
      <w:r w:rsidRPr="00197AF3">
        <w:rPr>
          <w:rStyle w:val="Textoennegrita"/>
          <w:rFonts w:ascii="Arial" w:hAnsi="Arial" w:cs="Arial"/>
          <w:color w:val="000000"/>
        </w:rPr>
        <w:t>Artículo 6.10</w:t>
      </w:r>
      <w:r w:rsidRPr="00197AF3">
        <w:rPr>
          <w:rFonts w:ascii="Arial" w:eastAsia="Arial" w:hAnsi="Arial" w:cs="Arial"/>
          <w:b/>
          <w:color w:val="000000" w:themeColor="text1"/>
        </w:rPr>
        <w:t>º.</w:t>
      </w:r>
      <w:r w:rsidR="007779FC" w:rsidRPr="00197AF3">
        <w:rPr>
          <w:rStyle w:val="Textoennegrita"/>
          <w:rFonts w:ascii="Arial" w:hAnsi="Arial" w:cs="Arial"/>
          <w:color w:val="000000"/>
        </w:rPr>
        <w:t xml:space="preserve"> Otorgamiento de recursos de créditos extraordinarios del tesoro.</w:t>
      </w:r>
      <w:r w:rsidR="007779FC" w:rsidRPr="00197AF3">
        <w:rPr>
          <w:rFonts w:ascii="Arial" w:hAnsi="Arial" w:cs="Arial"/>
          <w:color w:val="000000"/>
        </w:rPr>
        <w:t xml:space="preserve"> La Nación - MHCP, podrá otorgar recursos de créditos extraordinarios para atender las obligaciones del FEPC en una determinada vigencia, cuando el Ministerio de Minas y Energía haya calculado y expedido mediante resolución la posición neta trimestral de cada refinador y/o importador y previa </w:t>
      </w:r>
      <w:r w:rsidR="0011655A">
        <w:rPr>
          <w:rFonts w:ascii="Arial" w:hAnsi="Arial" w:cs="Arial"/>
          <w:color w:val="000000"/>
        </w:rPr>
        <w:t xml:space="preserve">revisión, verificación y </w:t>
      </w:r>
      <w:r w:rsidR="007779FC" w:rsidRPr="00197AF3">
        <w:rPr>
          <w:rFonts w:ascii="Arial" w:hAnsi="Arial" w:cs="Arial"/>
          <w:color w:val="000000"/>
        </w:rPr>
        <w:t xml:space="preserve">certificación del Subdirector de Tesorería de la Dirección General de Crédito Público y Tesoro Nacional </w:t>
      </w:r>
      <w:r w:rsidRPr="00197AF3">
        <w:rPr>
          <w:rFonts w:ascii="Arial" w:hAnsi="Arial" w:cs="Arial"/>
          <w:color w:val="000000"/>
        </w:rPr>
        <w:t xml:space="preserve">y del </w:t>
      </w:r>
      <w:r w:rsidR="0011655A">
        <w:rPr>
          <w:rFonts w:ascii="Arial" w:hAnsi="Arial" w:cs="Arial"/>
          <w:color w:val="000000"/>
        </w:rPr>
        <w:t xml:space="preserve">Director del </w:t>
      </w:r>
      <w:r w:rsidRPr="00197AF3">
        <w:rPr>
          <w:rFonts w:ascii="Arial" w:hAnsi="Arial" w:cs="Arial"/>
          <w:color w:val="000000" w:themeColor="text1"/>
        </w:rPr>
        <w:t>Observatorio de Control y Vigilancia de las Finanzas y las Políticas Públicas</w:t>
      </w:r>
      <w:r w:rsidRPr="00197AF3">
        <w:rPr>
          <w:rFonts w:ascii="Arial" w:hAnsi="Arial" w:cs="Arial"/>
          <w:b/>
          <w:bCs/>
          <w:color w:val="000000" w:themeColor="text1"/>
        </w:rPr>
        <w:t xml:space="preserve"> - </w:t>
      </w:r>
      <w:r w:rsidRPr="00197AF3">
        <w:rPr>
          <w:rFonts w:ascii="Arial" w:hAnsi="Arial" w:cs="Arial"/>
          <w:color w:val="000000" w:themeColor="text1"/>
          <w:shd w:val="clear" w:color="auto" w:fill="FFFFFF"/>
        </w:rPr>
        <w:t>Contraloría General de la República</w:t>
      </w:r>
      <w:r w:rsidR="007779FC" w:rsidRPr="00197AF3">
        <w:rPr>
          <w:rFonts w:ascii="Arial" w:hAnsi="Arial" w:cs="Arial"/>
          <w:color w:val="000000"/>
        </w:rPr>
        <w:t>, en la que conste que los recursos depositados en dicho fondo son insuficientes para atender las obligaciones a su cargo. </w:t>
      </w:r>
    </w:p>
    <w:p w:rsidR="007779FC" w:rsidRPr="00197AF3" w:rsidRDefault="007779FC" w:rsidP="00C31D20">
      <w:pPr>
        <w:pStyle w:val="NormalWeb"/>
        <w:spacing w:before="0" w:beforeAutospacing="0" w:after="0" w:afterAutospacing="0" w:line="254" w:lineRule="atLeast"/>
        <w:contextualSpacing/>
        <w:jc w:val="both"/>
        <w:rPr>
          <w:rFonts w:ascii="Arial" w:hAnsi="Arial" w:cs="Arial"/>
          <w:color w:val="000000"/>
        </w:rPr>
      </w:pPr>
      <w:r w:rsidRPr="00197AF3">
        <w:rPr>
          <w:rFonts w:ascii="Arial" w:hAnsi="Arial" w:cs="Arial"/>
          <w:color w:val="000000"/>
        </w:rPr>
        <w:t>  </w:t>
      </w:r>
    </w:p>
    <w:p w:rsidR="007779FC" w:rsidRPr="00197AF3" w:rsidRDefault="007779FC" w:rsidP="00C31D20">
      <w:pPr>
        <w:pStyle w:val="NormalWeb"/>
        <w:spacing w:before="0" w:beforeAutospacing="0" w:after="0" w:afterAutospacing="0" w:line="254" w:lineRule="atLeast"/>
        <w:contextualSpacing/>
        <w:jc w:val="both"/>
        <w:rPr>
          <w:rFonts w:ascii="Arial" w:hAnsi="Arial" w:cs="Arial"/>
          <w:color w:val="000000"/>
        </w:rPr>
      </w:pPr>
      <w:r w:rsidRPr="00197AF3">
        <w:rPr>
          <w:rFonts w:ascii="Arial" w:hAnsi="Arial" w:cs="Arial"/>
          <w:color w:val="000000"/>
        </w:rPr>
        <w:t>En todo caso, la Nación - MHCP sólo podrá otorgar recursos de créditos extraordinarios del tesoro cuando exista disponibilidad de recursos para ello. </w:t>
      </w:r>
    </w:p>
    <w:p w:rsidR="007779FC" w:rsidRPr="00197AF3" w:rsidRDefault="007779FC" w:rsidP="00C31D20">
      <w:pPr>
        <w:contextualSpacing/>
        <w:jc w:val="both"/>
        <w:rPr>
          <w:rFonts w:ascii="Arial" w:hAnsi="Arial" w:cs="Arial"/>
        </w:rPr>
      </w:pPr>
      <w:bookmarkStart w:id="25" w:name="ver_30177566"/>
      <w:bookmarkStart w:id="26" w:name="ver_30056912"/>
      <w:bookmarkEnd w:id="24"/>
      <w:bookmarkEnd w:id="25"/>
    </w:p>
    <w:p w:rsidR="007779FC" w:rsidRPr="00197AF3" w:rsidRDefault="006B0364" w:rsidP="00C31D20">
      <w:pPr>
        <w:pStyle w:val="NormalWeb"/>
        <w:spacing w:before="0" w:beforeAutospacing="0" w:after="0" w:afterAutospacing="0" w:line="254" w:lineRule="atLeast"/>
        <w:contextualSpacing/>
        <w:jc w:val="both"/>
        <w:rPr>
          <w:rFonts w:ascii="Arial" w:hAnsi="Arial" w:cs="Arial"/>
          <w:color w:val="000000"/>
        </w:rPr>
      </w:pPr>
      <w:r w:rsidRPr="00197AF3">
        <w:rPr>
          <w:rStyle w:val="Textoennegrita"/>
          <w:rFonts w:ascii="Arial" w:hAnsi="Arial" w:cs="Arial"/>
          <w:color w:val="000000"/>
        </w:rPr>
        <w:t>Artículo 6.11</w:t>
      </w:r>
      <w:r w:rsidRPr="00197AF3">
        <w:rPr>
          <w:rFonts w:ascii="Arial" w:eastAsia="Arial" w:hAnsi="Arial" w:cs="Arial"/>
          <w:b/>
          <w:color w:val="000000" w:themeColor="text1"/>
        </w:rPr>
        <w:t>º.</w:t>
      </w:r>
      <w:r w:rsidR="007779FC" w:rsidRPr="00197AF3">
        <w:rPr>
          <w:rStyle w:val="Textoennegrita"/>
          <w:rFonts w:ascii="Arial" w:hAnsi="Arial" w:cs="Arial"/>
          <w:color w:val="000000"/>
        </w:rPr>
        <w:t xml:space="preserve"> Condiciones de los créditos extraordinarios del tesoro.</w:t>
      </w:r>
      <w:r w:rsidR="007779FC" w:rsidRPr="00197AF3">
        <w:rPr>
          <w:rFonts w:ascii="Arial" w:hAnsi="Arial" w:cs="Arial"/>
          <w:color w:val="000000"/>
        </w:rPr>
        <w:t> Los créditos extraordinarios del tesoro se sujetarán a las siguientes reglas: </w:t>
      </w:r>
    </w:p>
    <w:p w:rsidR="007779FC" w:rsidRPr="00197AF3" w:rsidRDefault="007779FC" w:rsidP="00C31D20">
      <w:pPr>
        <w:pStyle w:val="NormalWeb"/>
        <w:spacing w:before="0" w:beforeAutospacing="0" w:after="0" w:afterAutospacing="0" w:line="254" w:lineRule="atLeast"/>
        <w:contextualSpacing/>
        <w:jc w:val="both"/>
        <w:rPr>
          <w:rFonts w:ascii="Arial" w:hAnsi="Arial" w:cs="Arial"/>
          <w:color w:val="000000"/>
        </w:rPr>
      </w:pPr>
      <w:r w:rsidRPr="00197AF3">
        <w:rPr>
          <w:rFonts w:ascii="Arial" w:hAnsi="Arial" w:cs="Arial"/>
          <w:color w:val="000000"/>
        </w:rPr>
        <w:t>  </w:t>
      </w:r>
    </w:p>
    <w:p w:rsidR="007779FC" w:rsidRPr="00197AF3" w:rsidRDefault="007779FC" w:rsidP="00C31D20">
      <w:pPr>
        <w:pStyle w:val="NormalWeb"/>
        <w:spacing w:before="0" w:beforeAutospacing="0" w:after="0" w:afterAutospacing="0" w:line="254" w:lineRule="atLeast"/>
        <w:contextualSpacing/>
        <w:jc w:val="both"/>
        <w:rPr>
          <w:rFonts w:ascii="Arial" w:hAnsi="Arial" w:cs="Arial"/>
          <w:color w:val="000000"/>
        </w:rPr>
      </w:pPr>
      <w:r w:rsidRPr="00197AF3">
        <w:rPr>
          <w:rFonts w:ascii="Arial" w:hAnsi="Arial" w:cs="Arial"/>
          <w:color w:val="000000"/>
        </w:rPr>
        <w:t xml:space="preserve">1. Los recursos de créditos extraordinarios del Tesoro serán únicamente los necesarios para atender los pagos con cargo al FEPC de los que trata el artículo </w:t>
      </w:r>
      <w:r w:rsidR="006B0364" w:rsidRPr="006261F6">
        <w:rPr>
          <w:rStyle w:val="Textoennegrita"/>
          <w:rFonts w:ascii="Arial" w:hAnsi="Arial" w:cs="Arial"/>
          <w:b w:val="0"/>
          <w:bCs w:val="0"/>
          <w:color w:val="000000"/>
        </w:rPr>
        <w:t>6.5</w:t>
      </w:r>
      <w:r w:rsidR="006B0364" w:rsidRPr="006261F6">
        <w:rPr>
          <w:rFonts w:ascii="Arial" w:eastAsia="Arial" w:hAnsi="Arial" w:cs="Arial"/>
          <w:b/>
          <w:bCs/>
          <w:color w:val="000000" w:themeColor="text1"/>
        </w:rPr>
        <w:t>º</w:t>
      </w:r>
      <w:r w:rsidR="006B0364" w:rsidRPr="00197AF3">
        <w:rPr>
          <w:rStyle w:val="Textoennegrita"/>
          <w:rFonts w:ascii="Arial" w:hAnsi="Arial" w:cs="Arial"/>
          <w:color w:val="000000"/>
        </w:rPr>
        <w:t xml:space="preserve"> </w:t>
      </w:r>
      <w:r w:rsidRPr="00197AF3">
        <w:rPr>
          <w:rFonts w:ascii="Arial" w:hAnsi="Arial" w:cs="Arial"/>
          <w:color w:val="000000"/>
        </w:rPr>
        <w:t>de</w:t>
      </w:r>
      <w:r w:rsidR="006B0364" w:rsidRPr="00197AF3">
        <w:rPr>
          <w:rFonts w:ascii="Arial" w:hAnsi="Arial" w:cs="Arial"/>
          <w:color w:val="000000"/>
        </w:rPr>
        <w:t xml:space="preserve"> </w:t>
      </w:r>
      <w:r w:rsidRPr="00197AF3">
        <w:rPr>
          <w:rFonts w:ascii="Arial" w:hAnsi="Arial" w:cs="Arial"/>
          <w:color w:val="000000"/>
        </w:rPr>
        <w:t>l</w:t>
      </w:r>
      <w:r w:rsidR="006B0364" w:rsidRPr="00197AF3">
        <w:rPr>
          <w:rFonts w:ascii="Arial" w:hAnsi="Arial" w:cs="Arial"/>
          <w:color w:val="000000"/>
        </w:rPr>
        <w:t>a</w:t>
      </w:r>
      <w:r w:rsidRPr="00197AF3">
        <w:rPr>
          <w:rFonts w:ascii="Arial" w:hAnsi="Arial" w:cs="Arial"/>
          <w:color w:val="000000"/>
        </w:rPr>
        <w:t xml:space="preserve"> presente </w:t>
      </w:r>
      <w:r w:rsidR="006B0364" w:rsidRPr="00197AF3">
        <w:rPr>
          <w:rFonts w:ascii="Arial" w:hAnsi="Arial" w:cs="Arial"/>
          <w:color w:val="000000"/>
        </w:rPr>
        <w:t>ley</w:t>
      </w:r>
      <w:r w:rsidRPr="00197AF3">
        <w:rPr>
          <w:rFonts w:ascii="Arial" w:hAnsi="Arial" w:cs="Arial"/>
          <w:color w:val="000000"/>
        </w:rPr>
        <w:t>. </w:t>
      </w:r>
    </w:p>
    <w:p w:rsidR="007779FC" w:rsidRPr="00197AF3" w:rsidRDefault="007779FC" w:rsidP="00C31D20">
      <w:pPr>
        <w:pStyle w:val="NormalWeb"/>
        <w:spacing w:before="0" w:beforeAutospacing="0" w:after="0" w:afterAutospacing="0" w:line="254" w:lineRule="atLeast"/>
        <w:contextualSpacing/>
        <w:jc w:val="both"/>
        <w:rPr>
          <w:rFonts w:ascii="Arial" w:hAnsi="Arial" w:cs="Arial"/>
          <w:color w:val="000000"/>
        </w:rPr>
      </w:pPr>
      <w:r w:rsidRPr="00197AF3">
        <w:rPr>
          <w:rFonts w:ascii="Arial" w:hAnsi="Arial" w:cs="Arial"/>
          <w:color w:val="000000"/>
        </w:rPr>
        <w:t>  </w:t>
      </w:r>
    </w:p>
    <w:p w:rsidR="007779FC" w:rsidRPr="00197AF3" w:rsidRDefault="007779FC" w:rsidP="00C31D20">
      <w:pPr>
        <w:pStyle w:val="NormalWeb"/>
        <w:spacing w:before="0" w:beforeAutospacing="0" w:after="0" w:afterAutospacing="0" w:line="254" w:lineRule="atLeast"/>
        <w:contextualSpacing/>
        <w:jc w:val="both"/>
        <w:rPr>
          <w:rFonts w:ascii="Arial" w:hAnsi="Arial" w:cs="Arial"/>
          <w:color w:val="000000"/>
        </w:rPr>
      </w:pPr>
      <w:r w:rsidRPr="00197AF3">
        <w:rPr>
          <w:rFonts w:ascii="Arial" w:hAnsi="Arial" w:cs="Arial"/>
          <w:color w:val="000000"/>
        </w:rPr>
        <w:t>2. El plazo de los créditos extraordinarios del tesoro deberá ser inferior a un (1) año. El plazo originalmente otorgado podrá ser prorrogado o renovado, previa autorización del Comité de Tesorería del MHCP. </w:t>
      </w:r>
    </w:p>
    <w:p w:rsidR="007779FC" w:rsidRPr="00197AF3" w:rsidRDefault="007779FC" w:rsidP="00C31D20">
      <w:pPr>
        <w:pStyle w:val="NormalWeb"/>
        <w:spacing w:before="0" w:beforeAutospacing="0" w:after="0" w:afterAutospacing="0" w:line="254" w:lineRule="atLeast"/>
        <w:contextualSpacing/>
        <w:jc w:val="both"/>
        <w:rPr>
          <w:rFonts w:ascii="Arial" w:hAnsi="Arial" w:cs="Arial"/>
          <w:color w:val="000000"/>
        </w:rPr>
      </w:pPr>
      <w:r w:rsidRPr="00197AF3">
        <w:rPr>
          <w:rFonts w:ascii="Arial" w:hAnsi="Arial" w:cs="Arial"/>
          <w:color w:val="000000"/>
        </w:rPr>
        <w:t>  </w:t>
      </w:r>
    </w:p>
    <w:p w:rsidR="007779FC" w:rsidRPr="00197AF3" w:rsidRDefault="007779FC" w:rsidP="00C31D20">
      <w:pPr>
        <w:pStyle w:val="NormalWeb"/>
        <w:spacing w:before="0" w:beforeAutospacing="0" w:after="0" w:afterAutospacing="0" w:line="254" w:lineRule="atLeast"/>
        <w:contextualSpacing/>
        <w:jc w:val="both"/>
        <w:rPr>
          <w:rFonts w:ascii="Arial" w:hAnsi="Arial" w:cs="Arial"/>
          <w:color w:val="000000"/>
        </w:rPr>
      </w:pPr>
      <w:r w:rsidRPr="00197AF3">
        <w:rPr>
          <w:rFonts w:ascii="Arial" w:hAnsi="Arial" w:cs="Arial"/>
          <w:color w:val="000000"/>
        </w:rPr>
        <w:t>3. El FEPC deberá expedir un pagaré a favor de la Nación - MHCP por cada desembolso en donde consten las condiciones financieras de los créditos extraordinarios del tesoro y el cual deberá ser suscrito por el Ministro de Hacienda y Crédito Público y el Ministro de Minas y Energía, en virtud de sus competencias. </w:t>
      </w:r>
    </w:p>
    <w:p w:rsidR="007779FC" w:rsidRPr="00197AF3" w:rsidRDefault="007779FC" w:rsidP="00C31D20">
      <w:pPr>
        <w:pStyle w:val="NormalWeb"/>
        <w:spacing w:before="0" w:beforeAutospacing="0" w:after="0" w:afterAutospacing="0" w:line="254" w:lineRule="atLeast"/>
        <w:contextualSpacing/>
        <w:jc w:val="both"/>
        <w:rPr>
          <w:rFonts w:ascii="Arial" w:hAnsi="Arial" w:cs="Arial"/>
          <w:color w:val="000000"/>
        </w:rPr>
      </w:pPr>
      <w:r w:rsidRPr="00197AF3">
        <w:rPr>
          <w:rFonts w:ascii="Arial" w:hAnsi="Arial" w:cs="Arial"/>
          <w:color w:val="000000"/>
        </w:rPr>
        <w:t>  </w:t>
      </w:r>
    </w:p>
    <w:p w:rsidR="007779FC" w:rsidRPr="00197AF3" w:rsidRDefault="007779FC" w:rsidP="00C31D20">
      <w:pPr>
        <w:pStyle w:val="NormalWeb"/>
        <w:spacing w:before="0" w:beforeAutospacing="0" w:after="0" w:afterAutospacing="0" w:line="254" w:lineRule="atLeast"/>
        <w:contextualSpacing/>
        <w:jc w:val="both"/>
        <w:rPr>
          <w:rFonts w:ascii="Arial" w:hAnsi="Arial" w:cs="Arial"/>
          <w:color w:val="000000"/>
        </w:rPr>
      </w:pPr>
      <w:r w:rsidRPr="00197AF3">
        <w:rPr>
          <w:rFonts w:ascii="Arial" w:hAnsi="Arial" w:cs="Arial"/>
          <w:color w:val="000000"/>
        </w:rPr>
        <w:lastRenderedPageBreak/>
        <w:t>4. Para el otorgamiento del Crédito Extraordinario del Tesoro, así como para efectuar sus prórrogas o renovaciones, se requerirá autorización del Comité de Tesorería del MHCP</w:t>
      </w:r>
      <w:r w:rsidR="006B0364" w:rsidRPr="00197AF3">
        <w:rPr>
          <w:rFonts w:ascii="Arial" w:hAnsi="Arial" w:cs="Arial"/>
          <w:color w:val="000000"/>
        </w:rPr>
        <w:t xml:space="preserve"> y previa revision del </w:t>
      </w:r>
      <w:r w:rsidR="006B0364" w:rsidRPr="00197AF3">
        <w:rPr>
          <w:rFonts w:ascii="Arial" w:hAnsi="Arial" w:cs="Arial"/>
          <w:color w:val="000000" w:themeColor="text1"/>
        </w:rPr>
        <w:t>Observatorio de Control y Vigilancia de las Finanzas y las Políticas Públicas</w:t>
      </w:r>
      <w:r w:rsidR="006B0364" w:rsidRPr="00197AF3">
        <w:rPr>
          <w:rFonts w:ascii="Arial" w:hAnsi="Arial" w:cs="Arial"/>
          <w:b/>
          <w:bCs/>
          <w:color w:val="000000" w:themeColor="text1"/>
        </w:rPr>
        <w:t xml:space="preserve"> - </w:t>
      </w:r>
      <w:r w:rsidR="006B0364" w:rsidRPr="00197AF3">
        <w:rPr>
          <w:rFonts w:ascii="Arial" w:hAnsi="Arial" w:cs="Arial"/>
          <w:color w:val="000000" w:themeColor="text1"/>
          <w:shd w:val="clear" w:color="auto" w:fill="FFFFFF"/>
        </w:rPr>
        <w:t>Contraloría General de la República</w:t>
      </w:r>
      <w:r w:rsidRPr="00197AF3">
        <w:rPr>
          <w:rFonts w:ascii="Arial" w:hAnsi="Arial" w:cs="Arial"/>
          <w:color w:val="000000"/>
        </w:rPr>
        <w:t>, instancia que definirá las condiciones financieras del crédito, sus prórrogas o modificaciones. </w:t>
      </w:r>
    </w:p>
    <w:p w:rsidR="007779FC" w:rsidRPr="00197AF3" w:rsidRDefault="007779FC" w:rsidP="00C31D20">
      <w:pPr>
        <w:pStyle w:val="NormalWeb"/>
        <w:spacing w:before="0" w:beforeAutospacing="0" w:after="0" w:afterAutospacing="0" w:line="254" w:lineRule="atLeast"/>
        <w:contextualSpacing/>
        <w:jc w:val="both"/>
        <w:rPr>
          <w:rFonts w:ascii="Arial" w:hAnsi="Arial" w:cs="Arial"/>
          <w:color w:val="000000"/>
        </w:rPr>
      </w:pPr>
      <w:r w:rsidRPr="00197AF3">
        <w:rPr>
          <w:rFonts w:ascii="Arial" w:hAnsi="Arial" w:cs="Arial"/>
          <w:color w:val="000000"/>
        </w:rPr>
        <w:t>  </w:t>
      </w:r>
    </w:p>
    <w:p w:rsidR="007779FC" w:rsidRPr="00197AF3" w:rsidRDefault="006B0364" w:rsidP="00C31D20">
      <w:pPr>
        <w:pStyle w:val="NormalWeb"/>
        <w:spacing w:before="0" w:beforeAutospacing="0" w:after="0" w:afterAutospacing="0" w:line="254" w:lineRule="atLeast"/>
        <w:contextualSpacing/>
        <w:jc w:val="both"/>
        <w:rPr>
          <w:rFonts w:ascii="Arial" w:hAnsi="Arial" w:cs="Arial"/>
          <w:color w:val="000000"/>
        </w:rPr>
      </w:pPr>
      <w:bookmarkStart w:id="27" w:name="ver_30177567"/>
      <w:bookmarkStart w:id="28" w:name="ver_30056913"/>
      <w:bookmarkEnd w:id="26"/>
      <w:bookmarkEnd w:id="27"/>
      <w:r w:rsidRPr="00197AF3">
        <w:rPr>
          <w:rStyle w:val="Textoennegrita"/>
          <w:rFonts w:ascii="Arial" w:hAnsi="Arial" w:cs="Arial"/>
          <w:color w:val="000000"/>
        </w:rPr>
        <w:t>Artículo 6.12</w:t>
      </w:r>
      <w:r w:rsidRPr="00197AF3">
        <w:rPr>
          <w:rFonts w:ascii="Arial" w:eastAsia="Arial" w:hAnsi="Arial" w:cs="Arial"/>
          <w:b/>
          <w:color w:val="000000" w:themeColor="text1"/>
        </w:rPr>
        <w:t>º.</w:t>
      </w:r>
      <w:r w:rsidRPr="00197AF3">
        <w:rPr>
          <w:rStyle w:val="Textoennegrita"/>
          <w:rFonts w:ascii="Arial" w:hAnsi="Arial" w:cs="Arial"/>
          <w:color w:val="000000"/>
        </w:rPr>
        <w:t xml:space="preserve"> </w:t>
      </w:r>
      <w:r w:rsidR="007779FC" w:rsidRPr="00197AF3">
        <w:rPr>
          <w:rFonts w:ascii="Arial" w:hAnsi="Arial" w:cs="Arial"/>
          <w:color w:val="000000"/>
        </w:rPr>
        <w:t xml:space="preserve">Condiciones de la emisión de bonos u otros títulos de deuda pública para cubrir las obligaciones a cargo del FEPC. Los bonos u otros títulos de deuda pública que emita la Nación </w:t>
      </w:r>
      <w:r w:rsidR="00670363">
        <w:rPr>
          <w:rFonts w:ascii="Arial" w:hAnsi="Arial" w:cs="Arial"/>
          <w:color w:val="000000"/>
        </w:rPr>
        <w:t xml:space="preserve">con </w:t>
      </w:r>
      <w:r w:rsidR="00670363" w:rsidRPr="00197AF3">
        <w:rPr>
          <w:rFonts w:ascii="Arial" w:hAnsi="Arial" w:cs="Arial"/>
          <w:color w:val="000000"/>
        </w:rPr>
        <w:t xml:space="preserve">previa revisión del </w:t>
      </w:r>
      <w:r w:rsidR="00670363" w:rsidRPr="00197AF3">
        <w:rPr>
          <w:rFonts w:ascii="Arial" w:hAnsi="Arial" w:cs="Arial"/>
          <w:color w:val="000000" w:themeColor="text1"/>
        </w:rPr>
        <w:t>Observatorio de Control y Vigilancia de las Finanzas y las Políticas Públicas</w:t>
      </w:r>
      <w:r w:rsidR="00670363" w:rsidRPr="00197AF3">
        <w:rPr>
          <w:rFonts w:ascii="Arial" w:hAnsi="Arial" w:cs="Arial"/>
          <w:b/>
          <w:bCs/>
          <w:color w:val="000000" w:themeColor="text1"/>
        </w:rPr>
        <w:t xml:space="preserve"> - </w:t>
      </w:r>
      <w:r w:rsidR="00670363" w:rsidRPr="00197AF3">
        <w:rPr>
          <w:rFonts w:ascii="Arial" w:hAnsi="Arial" w:cs="Arial"/>
          <w:color w:val="000000" w:themeColor="text1"/>
          <w:shd w:val="clear" w:color="auto" w:fill="FFFFFF"/>
        </w:rPr>
        <w:t>Contraloría General de la República</w:t>
      </w:r>
      <w:r w:rsidR="00670363">
        <w:rPr>
          <w:rFonts w:ascii="Arial" w:hAnsi="Arial" w:cs="Arial"/>
          <w:color w:val="000000" w:themeColor="text1"/>
          <w:shd w:val="clear" w:color="auto" w:fill="FFFFFF"/>
        </w:rPr>
        <w:t>,</w:t>
      </w:r>
      <w:r w:rsidR="00670363" w:rsidRPr="00197AF3">
        <w:rPr>
          <w:rFonts w:ascii="Arial" w:hAnsi="Arial" w:cs="Arial"/>
          <w:color w:val="000000"/>
        </w:rPr>
        <w:t xml:space="preserve"> </w:t>
      </w:r>
      <w:r w:rsidR="007779FC" w:rsidRPr="00197AF3">
        <w:rPr>
          <w:rFonts w:ascii="Arial" w:hAnsi="Arial" w:cs="Arial"/>
          <w:color w:val="000000"/>
        </w:rPr>
        <w:t>con el fin de cubrir las obligaciones a cargo del FEPC se sujetarán a las siguientes reglas: </w:t>
      </w:r>
    </w:p>
    <w:p w:rsidR="007779FC" w:rsidRPr="00197AF3" w:rsidRDefault="007779FC" w:rsidP="00C31D20">
      <w:pPr>
        <w:pStyle w:val="NormalWeb"/>
        <w:spacing w:before="0" w:beforeAutospacing="0" w:after="0" w:afterAutospacing="0" w:line="254" w:lineRule="atLeast"/>
        <w:contextualSpacing/>
        <w:jc w:val="both"/>
        <w:rPr>
          <w:rFonts w:ascii="Arial" w:hAnsi="Arial" w:cs="Arial"/>
          <w:color w:val="000000"/>
        </w:rPr>
      </w:pPr>
      <w:r w:rsidRPr="00197AF3">
        <w:rPr>
          <w:rFonts w:ascii="Arial" w:hAnsi="Arial" w:cs="Arial"/>
          <w:color w:val="000000"/>
        </w:rPr>
        <w:t>  </w:t>
      </w:r>
    </w:p>
    <w:p w:rsidR="007779FC" w:rsidRPr="00197AF3" w:rsidRDefault="007779FC" w:rsidP="00C31D20">
      <w:pPr>
        <w:pStyle w:val="NormalWeb"/>
        <w:spacing w:before="0" w:beforeAutospacing="0" w:after="0" w:afterAutospacing="0" w:line="254" w:lineRule="atLeast"/>
        <w:contextualSpacing/>
        <w:jc w:val="both"/>
        <w:rPr>
          <w:rFonts w:ascii="Arial" w:hAnsi="Arial" w:cs="Arial"/>
          <w:color w:val="000000"/>
        </w:rPr>
      </w:pPr>
      <w:r w:rsidRPr="00197AF3">
        <w:rPr>
          <w:rFonts w:ascii="Arial" w:hAnsi="Arial" w:cs="Arial"/>
          <w:color w:val="000000"/>
        </w:rPr>
        <w:t>1. Las condiciones financieras de los bonos u otros títulos de deuda pública que emita la Nación serán determinadas por el Comité de Tesorería del MHCP, y en todo caso deberán reflejar las condiciones de mercado y guardar consistencia con la Estrategia de Gestión de Deuda de Mediano Plazo (EGDMP). </w:t>
      </w:r>
    </w:p>
    <w:p w:rsidR="007779FC" w:rsidRPr="00197AF3" w:rsidRDefault="007779FC" w:rsidP="00C31D20">
      <w:pPr>
        <w:pStyle w:val="NormalWeb"/>
        <w:spacing w:before="0" w:beforeAutospacing="0" w:after="0" w:afterAutospacing="0" w:line="254" w:lineRule="atLeast"/>
        <w:contextualSpacing/>
        <w:jc w:val="both"/>
        <w:rPr>
          <w:rFonts w:ascii="Arial" w:hAnsi="Arial" w:cs="Arial"/>
          <w:color w:val="000000"/>
        </w:rPr>
      </w:pPr>
      <w:r w:rsidRPr="00197AF3">
        <w:rPr>
          <w:rFonts w:ascii="Arial" w:hAnsi="Arial" w:cs="Arial"/>
          <w:color w:val="000000"/>
        </w:rPr>
        <w:t>  </w:t>
      </w:r>
    </w:p>
    <w:p w:rsidR="007779FC" w:rsidRPr="00197AF3" w:rsidRDefault="007779FC" w:rsidP="00C31D20">
      <w:pPr>
        <w:pStyle w:val="NormalWeb"/>
        <w:spacing w:before="0" w:beforeAutospacing="0" w:after="0" w:afterAutospacing="0" w:line="254" w:lineRule="atLeast"/>
        <w:contextualSpacing/>
        <w:jc w:val="both"/>
        <w:rPr>
          <w:rFonts w:ascii="Arial" w:hAnsi="Arial" w:cs="Arial"/>
          <w:color w:val="000000"/>
        </w:rPr>
      </w:pPr>
      <w:r w:rsidRPr="00197AF3">
        <w:rPr>
          <w:rFonts w:ascii="Arial" w:hAnsi="Arial" w:cs="Arial"/>
          <w:color w:val="000000"/>
        </w:rPr>
        <w:t>2. En contrapartida de las obligaciones a cargo del FEPC atendidas mediante la emisión de bonos u otros títulos de deuda pública, la Nación constituirá las respectivas cuentas por cobrar. Para estos efectos, el FEPC suscribirá un pagaré a favor de la Nación por cada operación en la cual la Nación le entregue al FEPC los bonos o títulos de los que trata el presente artículo. </w:t>
      </w:r>
    </w:p>
    <w:p w:rsidR="007779FC" w:rsidRPr="00197AF3" w:rsidRDefault="007779FC" w:rsidP="00C31D20">
      <w:pPr>
        <w:pStyle w:val="NormalWeb"/>
        <w:spacing w:before="0" w:beforeAutospacing="0" w:after="0" w:afterAutospacing="0" w:line="254" w:lineRule="atLeast"/>
        <w:contextualSpacing/>
        <w:jc w:val="both"/>
        <w:rPr>
          <w:rFonts w:ascii="Arial" w:hAnsi="Arial" w:cs="Arial"/>
          <w:color w:val="000000"/>
        </w:rPr>
      </w:pPr>
      <w:r w:rsidRPr="00197AF3">
        <w:rPr>
          <w:rFonts w:ascii="Arial" w:hAnsi="Arial" w:cs="Arial"/>
          <w:color w:val="000000"/>
        </w:rPr>
        <w:t>  </w:t>
      </w:r>
    </w:p>
    <w:p w:rsidR="007779FC" w:rsidRPr="00197AF3" w:rsidRDefault="007779FC" w:rsidP="00C31D20">
      <w:pPr>
        <w:pStyle w:val="NormalWeb"/>
        <w:spacing w:before="0" w:beforeAutospacing="0" w:after="0" w:afterAutospacing="0" w:line="254" w:lineRule="atLeast"/>
        <w:contextualSpacing/>
        <w:jc w:val="both"/>
        <w:rPr>
          <w:rFonts w:ascii="Arial" w:hAnsi="Arial" w:cs="Arial"/>
          <w:color w:val="000000"/>
        </w:rPr>
      </w:pPr>
      <w:r w:rsidRPr="00197AF3">
        <w:rPr>
          <w:rFonts w:ascii="Arial" w:hAnsi="Arial" w:cs="Arial"/>
          <w:color w:val="000000"/>
        </w:rPr>
        <w:t>3. Para la emisión de bonos u otros títulos de deuda pública que realice la Nación y la suscripción del pagaré de que trata el numeral anterior, se requerirá autorización del Comité de Tesorería del MHCP. </w:t>
      </w:r>
    </w:p>
    <w:p w:rsidR="007779FC" w:rsidRPr="00197AF3" w:rsidRDefault="007779FC" w:rsidP="00C31D20">
      <w:pPr>
        <w:pStyle w:val="NormalWeb"/>
        <w:spacing w:before="0" w:beforeAutospacing="0" w:after="0" w:afterAutospacing="0" w:line="254" w:lineRule="atLeast"/>
        <w:contextualSpacing/>
        <w:jc w:val="both"/>
        <w:rPr>
          <w:rFonts w:ascii="Arial" w:hAnsi="Arial" w:cs="Arial"/>
          <w:color w:val="000000"/>
        </w:rPr>
      </w:pPr>
      <w:r w:rsidRPr="00197AF3">
        <w:rPr>
          <w:rFonts w:ascii="Arial" w:hAnsi="Arial" w:cs="Arial"/>
          <w:color w:val="000000"/>
        </w:rPr>
        <w:t>  </w:t>
      </w:r>
    </w:p>
    <w:p w:rsidR="007779FC" w:rsidRPr="00197AF3" w:rsidRDefault="007779FC" w:rsidP="00C31D20">
      <w:pPr>
        <w:pStyle w:val="NormalWeb"/>
        <w:spacing w:before="0" w:beforeAutospacing="0" w:after="0" w:afterAutospacing="0" w:line="254" w:lineRule="atLeast"/>
        <w:contextualSpacing/>
        <w:jc w:val="both"/>
        <w:rPr>
          <w:rFonts w:ascii="Arial" w:hAnsi="Arial" w:cs="Arial"/>
          <w:color w:val="000000"/>
        </w:rPr>
      </w:pPr>
      <w:r w:rsidRPr="00197AF3">
        <w:rPr>
          <w:rStyle w:val="Textoennegrita"/>
          <w:rFonts w:ascii="Arial" w:hAnsi="Arial" w:cs="Arial"/>
          <w:color w:val="000000"/>
        </w:rPr>
        <w:t>Parágrafo 1°. </w:t>
      </w:r>
      <w:r w:rsidRPr="00197AF3">
        <w:rPr>
          <w:rFonts w:ascii="Arial" w:hAnsi="Arial" w:cs="Arial"/>
          <w:color w:val="000000"/>
        </w:rPr>
        <w:t>El Ministro de Hacienda y Crédito Público suscribirá en el ámbito de sus competencias el pagaré. </w:t>
      </w:r>
    </w:p>
    <w:p w:rsidR="007779FC" w:rsidRPr="00197AF3" w:rsidRDefault="007779FC" w:rsidP="00C31D20">
      <w:pPr>
        <w:pStyle w:val="NormalWeb"/>
        <w:spacing w:before="0" w:beforeAutospacing="0" w:after="0" w:afterAutospacing="0" w:line="254" w:lineRule="atLeast"/>
        <w:contextualSpacing/>
        <w:jc w:val="both"/>
        <w:rPr>
          <w:rFonts w:ascii="Arial" w:hAnsi="Arial" w:cs="Arial"/>
          <w:color w:val="000000"/>
        </w:rPr>
      </w:pPr>
      <w:r w:rsidRPr="00197AF3">
        <w:rPr>
          <w:rFonts w:ascii="Arial" w:hAnsi="Arial" w:cs="Arial"/>
          <w:color w:val="000000"/>
        </w:rPr>
        <w:t>  </w:t>
      </w:r>
    </w:p>
    <w:p w:rsidR="007779FC" w:rsidRPr="00197AF3" w:rsidRDefault="007779FC" w:rsidP="00C31D20">
      <w:pPr>
        <w:pStyle w:val="NormalWeb"/>
        <w:spacing w:before="0" w:beforeAutospacing="0" w:after="0" w:afterAutospacing="0" w:line="254" w:lineRule="atLeast"/>
        <w:contextualSpacing/>
        <w:jc w:val="both"/>
        <w:rPr>
          <w:rFonts w:ascii="Arial" w:hAnsi="Arial" w:cs="Arial"/>
          <w:color w:val="000000"/>
        </w:rPr>
      </w:pPr>
      <w:r w:rsidRPr="00197AF3">
        <w:rPr>
          <w:rStyle w:val="Textoennegrita"/>
          <w:rFonts w:ascii="Arial" w:hAnsi="Arial" w:cs="Arial"/>
          <w:color w:val="000000"/>
        </w:rPr>
        <w:t>Parágrafo 2°.</w:t>
      </w:r>
      <w:r w:rsidRPr="00197AF3">
        <w:rPr>
          <w:rFonts w:ascii="Arial" w:hAnsi="Arial" w:cs="Arial"/>
          <w:color w:val="000000"/>
        </w:rPr>
        <w:t> Las condiciones financieras del pagaré, serán las que defina y autorice el Comité de Tesorería del MHCP</w:t>
      </w:r>
      <w:r w:rsidR="006B0364" w:rsidRPr="00197AF3">
        <w:rPr>
          <w:rFonts w:ascii="Arial" w:hAnsi="Arial" w:cs="Arial"/>
          <w:color w:val="000000"/>
        </w:rPr>
        <w:t xml:space="preserve"> con revision previa del </w:t>
      </w:r>
      <w:r w:rsidR="006B0364" w:rsidRPr="00197AF3">
        <w:rPr>
          <w:rFonts w:ascii="Arial" w:hAnsi="Arial" w:cs="Arial"/>
          <w:color w:val="000000" w:themeColor="text1"/>
        </w:rPr>
        <w:t>Observatorio de Control y Vigilancia de las Finanzas y las Políticas Públicas</w:t>
      </w:r>
      <w:r w:rsidR="006B0364" w:rsidRPr="00197AF3">
        <w:rPr>
          <w:rFonts w:ascii="Arial" w:hAnsi="Arial" w:cs="Arial"/>
          <w:b/>
          <w:bCs/>
          <w:color w:val="000000" w:themeColor="text1"/>
        </w:rPr>
        <w:t xml:space="preserve"> - </w:t>
      </w:r>
      <w:r w:rsidR="006B0364" w:rsidRPr="00197AF3">
        <w:rPr>
          <w:rFonts w:ascii="Arial" w:hAnsi="Arial" w:cs="Arial"/>
          <w:color w:val="000000" w:themeColor="text1"/>
          <w:shd w:val="clear" w:color="auto" w:fill="FFFFFF"/>
        </w:rPr>
        <w:t>Contraloría General de la República</w:t>
      </w:r>
      <w:r w:rsidRPr="00197AF3">
        <w:rPr>
          <w:rFonts w:ascii="Arial" w:hAnsi="Arial" w:cs="Arial"/>
          <w:color w:val="000000"/>
        </w:rPr>
        <w:t>, y la tasa de interés reflejará las condiciones de la curva de rendimientos de la Nación al plazo autorizado. </w:t>
      </w:r>
    </w:p>
    <w:p w:rsidR="007779FC" w:rsidRPr="00197AF3" w:rsidRDefault="007779FC" w:rsidP="00C31D20">
      <w:pPr>
        <w:pStyle w:val="NormalWeb"/>
        <w:spacing w:before="0" w:beforeAutospacing="0" w:after="0" w:afterAutospacing="0" w:line="254" w:lineRule="atLeast"/>
        <w:contextualSpacing/>
        <w:jc w:val="both"/>
        <w:rPr>
          <w:rFonts w:ascii="Arial" w:hAnsi="Arial" w:cs="Arial"/>
          <w:color w:val="000000"/>
        </w:rPr>
      </w:pPr>
      <w:r w:rsidRPr="00197AF3">
        <w:rPr>
          <w:rFonts w:ascii="Arial" w:hAnsi="Arial" w:cs="Arial"/>
          <w:color w:val="000000"/>
        </w:rPr>
        <w:t>  </w:t>
      </w:r>
    </w:p>
    <w:p w:rsidR="007779FC" w:rsidRPr="00197AF3" w:rsidRDefault="007779FC" w:rsidP="00C31D20">
      <w:pPr>
        <w:pStyle w:val="NormalWeb"/>
        <w:spacing w:before="0" w:beforeAutospacing="0" w:after="0" w:afterAutospacing="0" w:line="254" w:lineRule="atLeast"/>
        <w:contextualSpacing/>
        <w:jc w:val="both"/>
        <w:rPr>
          <w:rFonts w:ascii="Arial" w:hAnsi="Arial" w:cs="Arial"/>
          <w:color w:val="000000"/>
        </w:rPr>
      </w:pPr>
      <w:r w:rsidRPr="00197AF3">
        <w:rPr>
          <w:rFonts w:ascii="Arial" w:hAnsi="Arial" w:cs="Arial"/>
          <w:color w:val="000000"/>
        </w:rPr>
        <w:t xml:space="preserve">Las modificaciones a las condiciones financieras de los pagarés de que trata el numeral 2 del presente artículo serán solicitadas por parte del administrador de los </w:t>
      </w:r>
      <w:r w:rsidRPr="00197AF3">
        <w:rPr>
          <w:rFonts w:ascii="Arial" w:hAnsi="Arial" w:cs="Arial"/>
          <w:color w:val="000000"/>
        </w:rPr>
        <w:lastRenderedPageBreak/>
        <w:t>recursos del FEPC con la correspondiente motivación, incluyendo las proyecciones de precios efectuadas por el Ministerio de Minas y Energía y será el Comité de Tesorería del MHCP quien defina y autorice dichas condiciones, las cuales se reflejarán en las respectivas cuentas por cobrar. </w:t>
      </w:r>
    </w:p>
    <w:p w:rsidR="007779FC" w:rsidRPr="00197AF3" w:rsidRDefault="007779FC" w:rsidP="00C31D20">
      <w:pPr>
        <w:contextualSpacing/>
        <w:jc w:val="both"/>
        <w:rPr>
          <w:rFonts w:ascii="Arial" w:hAnsi="Arial" w:cs="Arial"/>
        </w:rPr>
      </w:pPr>
      <w:bookmarkStart w:id="29" w:name="ver_30177568"/>
      <w:bookmarkEnd w:id="28"/>
      <w:bookmarkEnd w:id="29"/>
    </w:p>
    <w:p w:rsidR="007779FC" w:rsidRPr="00197AF3" w:rsidRDefault="006B0364" w:rsidP="00C31D20">
      <w:pPr>
        <w:pStyle w:val="NormalWeb"/>
        <w:spacing w:before="0" w:beforeAutospacing="0" w:after="0" w:afterAutospacing="0" w:line="254" w:lineRule="atLeast"/>
        <w:contextualSpacing/>
        <w:jc w:val="both"/>
        <w:rPr>
          <w:rFonts w:ascii="Arial" w:hAnsi="Arial" w:cs="Arial"/>
          <w:color w:val="000000"/>
        </w:rPr>
      </w:pPr>
      <w:r w:rsidRPr="00197AF3">
        <w:rPr>
          <w:rStyle w:val="Textoennegrita"/>
          <w:rFonts w:ascii="Arial" w:hAnsi="Arial" w:cs="Arial"/>
          <w:color w:val="000000"/>
        </w:rPr>
        <w:t>Artículo 6.12</w:t>
      </w:r>
      <w:r w:rsidRPr="00197AF3">
        <w:rPr>
          <w:rFonts w:ascii="Arial" w:eastAsia="Arial" w:hAnsi="Arial" w:cs="Arial"/>
          <w:b/>
          <w:color w:val="000000" w:themeColor="text1"/>
        </w:rPr>
        <w:t>º.</w:t>
      </w:r>
      <w:r w:rsidRPr="00197AF3">
        <w:rPr>
          <w:rStyle w:val="Textoennegrita"/>
          <w:rFonts w:ascii="Arial" w:hAnsi="Arial" w:cs="Arial"/>
          <w:color w:val="000000"/>
        </w:rPr>
        <w:t xml:space="preserve"> </w:t>
      </w:r>
      <w:r w:rsidR="007779FC" w:rsidRPr="00197AF3">
        <w:rPr>
          <w:rStyle w:val="Textoennegrita"/>
          <w:rFonts w:ascii="Arial" w:hAnsi="Arial" w:cs="Arial"/>
          <w:color w:val="000000"/>
        </w:rPr>
        <w:t xml:space="preserve"> Ingreso al productor en zonas de frontera. </w:t>
      </w:r>
      <w:r w:rsidR="007779FC" w:rsidRPr="00197AF3">
        <w:rPr>
          <w:rFonts w:ascii="Arial" w:hAnsi="Arial" w:cs="Arial"/>
          <w:color w:val="000000"/>
        </w:rPr>
        <w:t xml:space="preserve">El Ministerio de Minas y Energía </w:t>
      </w:r>
      <w:r w:rsidRPr="00197AF3">
        <w:rPr>
          <w:rFonts w:ascii="Arial" w:hAnsi="Arial" w:cs="Arial"/>
          <w:color w:val="000000"/>
        </w:rPr>
        <w:t xml:space="preserve">con previa revision del </w:t>
      </w:r>
      <w:r w:rsidRPr="00197AF3">
        <w:rPr>
          <w:rFonts w:ascii="Arial" w:hAnsi="Arial" w:cs="Arial"/>
          <w:color w:val="000000" w:themeColor="text1"/>
        </w:rPr>
        <w:t>Observatorio de Control y Vigilancia de las Finanzas y las Políticas Públicas</w:t>
      </w:r>
      <w:r w:rsidRPr="00197AF3">
        <w:rPr>
          <w:rFonts w:ascii="Arial" w:hAnsi="Arial" w:cs="Arial"/>
          <w:b/>
          <w:bCs/>
          <w:color w:val="000000" w:themeColor="text1"/>
        </w:rPr>
        <w:t xml:space="preserve"> - </w:t>
      </w:r>
      <w:r w:rsidRPr="00197AF3">
        <w:rPr>
          <w:rFonts w:ascii="Arial" w:hAnsi="Arial" w:cs="Arial"/>
          <w:color w:val="000000" w:themeColor="text1"/>
          <w:shd w:val="clear" w:color="auto" w:fill="FFFFFF"/>
        </w:rPr>
        <w:t>Contraloría General de la República</w:t>
      </w:r>
      <w:r w:rsidRPr="00197AF3">
        <w:rPr>
          <w:rFonts w:ascii="Arial" w:hAnsi="Arial" w:cs="Arial"/>
          <w:color w:val="000000"/>
        </w:rPr>
        <w:t xml:space="preserve"> </w:t>
      </w:r>
      <w:r w:rsidR="007779FC" w:rsidRPr="00197AF3">
        <w:rPr>
          <w:rFonts w:ascii="Arial" w:hAnsi="Arial" w:cs="Arial"/>
          <w:color w:val="000000"/>
        </w:rPr>
        <w:t xml:space="preserve">fijará el Ingreso al Productor aplicable para las zonas de frontera; sin embargo, los cambios en la proporcionalidad sobre dicho Ingreso al Productor o el incremento de volúmenes en dichas zonas, así como la decisión de extender dicha política a nuevas zonas de frontera deberá contar con previo concepto favorable del Ministerio de Hacienda y Crédito Público, en virtud de lo dispuesto </w:t>
      </w:r>
      <w:r w:rsidRPr="00197AF3">
        <w:rPr>
          <w:rFonts w:ascii="Arial" w:hAnsi="Arial" w:cs="Arial"/>
          <w:color w:val="000000"/>
        </w:rPr>
        <w:t xml:space="preserve">a </w:t>
      </w:r>
      <w:r w:rsidR="007779FC" w:rsidRPr="00197AF3">
        <w:rPr>
          <w:rFonts w:ascii="Arial" w:hAnsi="Arial" w:cs="Arial"/>
          <w:color w:val="000000"/>
        </w:rPr>
        <w:t>las normas que lo modifiquen o sustituyan</w:t>
      </w:r>
      <w:r w:rsidRPr="00197AF3">
        <w:rPr>
          <w:rFonts w:ascii="Arial" w:hAnsi="Arial" w:cs="Arial"/>
          <w:color w:val="000000"/>
        </w:rPr>
        <w:t>.</w:t>
      </w:r>
      <w:r w:rsidR="007779FC" w:rsidRPr="00197AF3">
        <w:rPr>
          <w:rFonts w:ascii="Arial" w:hAnsi="Arial" w:cs="Arial"/>
          <w:color w:val="000000"/>
        </w:rPr>
        <w:t> </w:t>
      </w:r>
    </w:p>
    <w:p w:rsidR="0040140C" w:rsidRPr="00197AF3" w:rsidRDefault="0040140C" w:rsidP="00C31D20">
      <w:pPr>
        <w:spacing w:line="254" w:lineRule="atLeast"/>
        <w:contextualSpacing/>
        <w:jc w:val="both"/>
        <w:rPr>
          <w:rFonts w:ascii="Arial" w:hAnsi="Arial" w:cs="Arial"/>
          <w:color w:val="000000"/>
        </w:rPr>
      </w:pPr>
      <w:r w:rsidRPr="00197AF3">
        <w:rPr>
          <w:rFonts w:ascii="Arial" w:hAnsi="Arial" w:cs="Arial"/>
          <w:color w:val="000000"/>
        </w:rPr>
        <w:t>  </w:t>
      </w:r>
    </w:p>
    <w:p w:rsidR="008A40C5" w:rsidRDefault="004202CE" w:rsidP="00C31D20">
      <w:pPr>
        <w:contextualSpacing/>
        <w:jc w:val="both"/>
        <w:rPr>
          <w:rFonts w:ascii="Arial" w:hAnsi="Arial" w:cs="Arial"/>
        </w:rPr>
      </w:pPr>
      <w:r w:rsidRPr="00197AF3">
        <w:rPr>
          <w:rFonts w:ascii="Arial" w:hAnsi="Arial" w:cs="Arial"/>
          <w:b/>
          <w:bCs/>
        </w:rPr>
        <w:t>Artículo 1</w:t>
      </w:r>
      <w:r w:rsidR="00197AF3" w:rsidRPr="00197AF3">
        <w:rPr>
          <w:rFonts w:ascii="Arial" w:hAnsi="Arial" w:cs="Arial"/>
          <w:b/>
          <w:bCs/>
        </w:rPr>
        <w:t>6</w:t>
      </w:r>
      <w:r w:rsidRPr="00197AF3">
        <w:rPr>
          <w:rFonts w:ascii="Arial" w:hAnsi="Arial" w:cs="Arial"/>
          <w:b/>
          <w:bCs/>
        </w:rPr>
        <w:t xml:space="preserve">°. </w:t>
      </w:r>
      <w:r w:rsidR="00F3792A">
        <w:rPr>
          <w:rFonts w:ascii="Arial" w:hAnsi="Arial" w:cs="Arial"/>
          <w:b/>
          <w:bCs/>
        </w:rPr>
        <w:t xml:space="preserve">Informe </w:t>
      </w:r>
      <w:r w:rsidRPr="00197AF3">
        <w:rPr>
          <w:rFonts w:ascii="Arial" w:hAnsi="Arial" w:cs="Arial"/>
          <w:b/>
          <w:bCs/>
        </w:rPr>
        <w:t>de vigilancia y control.</w:t>
      </w:r>
      <w:r w:rsidR="00F3792A">
        <w:rPr>
          <w:rFonts w:ascii="Arial" w:hAnsi="Arial" w:cs="Arial"/>
          <w:b/>
          <w:bCs/>
        </w:rPr>
        <w:t xml:space="preserve"> </w:t>
      </w:r>
      <w:r w:rsidR="00F3792A" w:rsidRPr="00F3792A">
        <w:rPr>
          <w:rFonts w:ascii="Arial" w:hAnsi="Arial" w:cs="Arial"/>
        </w:rPr>
        <w:t>El Ministerio de Minas y Energia</w:t>
      </w:r>
      <w:r w:rsidR="009458B6">
        <w:rPr>
          <w:rFonts w:ascii="Arial" w:hAnsi="Arial" w:cs="Arial"/>
          <w:b/>
          <w:bCs/>
        </w:rPr>
        <w:t xml:space="preserve">, </w:t>
      </w:r>
      <w:r w:rsidR="009458B6" w:rsidRPr="009458B6">
        <w:rPr>
          <w:rFonts w:ascii="Arial" w:hAnsi="Arial" w:cs="Arial"/>
        </w:rPr>
        <w:t xml:space="preserve">Ministerios de Hacienda y Credito y Publico, y el </w:t>
      </w:r>
      <w:r w:rsidR="009458B6" w:rsidRPr="00197AF3">
        <w:rPr>
          <w:rFonts w:ascii="Arial" w:hAnsi="Arial" w:cs="Arial"/>
          <w:color w:val="000000" w:themeColor="text1"/>
        </w:rPr>
        <w:t>Observatorio de Control y Vigilancia de las Finanzas y las Políticas Públicas</w:t>
      </w:r>
      <w:r w:rsidR="009458B6" w:rsidRPr="00197AF3">
        <w:rPr>
          <w:rFonts w:ascii="Arial" w:hAnsi="Arial" w:cs="Arial"/>
          <w:b/>
          <w:bCs/>
          <w:color w:val="000000" w:themeColor="text1"/>
        </w:rPr>
        <w:t xml:space="preserve"> - </w:t>
      </w:r>
      <w:r w:rsidR="009458B6" w:rsidRPr="00197AF3">
        <w:rPr>
          <w:rFonts w:ascii="Arial" w:hAnsi="Arial" w:cs="Arial"/>
          <w:color w:val="000000" w:themeColor="text1"/>
          <w:shd w:val="clear" w:color="auto" w:fill="FFFFFF"/>
        </w:rPr>
        <w:t>Contraloría General de la República</w:t>
      </w:r>
      <w:r w:rsidR="009458B6" w:rsidRPr="00197AF3">
        <w:rPr>
          <w:rFonts w:ascii="Arial" w:hAnsi="Arial" w:cs="Arial"/>
        </w:rPr>
        <w:t xml:space="preserve"> </w:t>
      </w:r>
      <w:r w:rsidR="009458B6">
        <w:rPr>
          <w:rFonts w:ascii="Arial" w:hAnsi="Arial" w:cs="Arial"/>
        </w:rPr>
        <w:t xml:space="preserve">presentaran informe mensualmente de la aplicación de esta Ley a las Comisiones Quintas del Congreso de la Republica con el fin de </w:t>
      </w:r>
      <w:r w:rsidRPr="00197AF3">
        <w:rPr>
          <w:rFonts w:ascii="Arial" w:hAnsi="Arial" w:cs="Arial"/>
        </w:rPr>
        <w:t xml:space="preserve">desarrollar mecanismos de </w:t>
      </w:r>
      <w:r w:rsidR="009458B6">
        <w:rPr>
          <w:rFonts w:ascii="Arial" w:hAnsi="Arial" w:cs="Arial"/>
        </w:rPr>
        <w:t xml:space="preserve">transparencia, </w:t>
      </w:r>
      <w:r w:rsidRPr="00197AF3">
        <w:rPr>
          <w:rFonts w:ascii="Arial" w:hAnsi="Arial" w:cs="Arial"/>
        </w:rPr>
        <w:t>vigilancia y control</w:t>
      </w:r>
      <w:r w:rsidR="009458B6">
        <w:rPr>
          <w:rFonts w:ascii="Arial" w:hAnsi="Arial" w:cs="Arial"/>
        </w:rPr>
        <w:t>.</w:t>
      </w:r>
    </w:p>
    <w:p w:rsidR="00692E43" w:rsidRPr="00197AF3" w:rsidRDefault="00692E43" w:rsidP="00C31D20">
      <w:pPr>
        <w:contextualSpacing/>
        <w:jc w:val="both"/>
        <w:rPr>
          <w:rFonts w:ascii="Arial" w:eastAsia="Arial" w:hAnsi="Arial" w:cs="Arial"/>
          <w:b/>
          <w:color w:val="000000" w:themeColor="text1"/>
        </w:rPr>
      </w:pPr>
    </w:p>
    <w:p w:rsidR="00C647DF" w:rsidRPr="00490E7F" w:rsidRDefault="008E7C10" w:rsidP="00C31D20">
      <w:pPr>
        <w:contextualSpacing/>
        <w:rPr>
          <w:rFonts w:ascii="Arial" w:hAnsi="Arial" w:cs="Arial"/>
          <w:color w:val="4B4949"/>
          <w:sz w:val="18"/>
          <w:szCs w:val="18"/>
        </w:rPr>
      </w:pPr>
      <w:r w:rsidRPr="00197AF3">
        <w:rPr>
          <w:rFonts w:ascii="Arial" w:hAnsi="Arial" w:cs="Arial"/>
          <w:b/>
          <w:bCs/>
          <w:color w:val="181717"/>
          <w:shd w:val="clear" w:color="auto" w:fill="FFFFFF"/>
        </w:rPr>
        <w:t>Artículo</w:t>
      </w:r>
      <w:r w:rsidRPr="00197AF3">
        <w:rPr>
          <w:rFonts w:ascii="Arial" w:hAnsi="Arial" w:cs="Arial"/>
          <w:color w:val="181717"/>
          <w:shd w:val="clear" w:color="auto" w:fill="FFFFFF"/>
        </w:rPr>
        <w:t> </w:t>
      </w:r>
      <w:r w:rsidR="00197AF3" w:rsidRPr="00197AF3">
        <w:rPr>
          <w:rFonts w:ascii="Arial" w:hAnsi="Arial" w:cs="Arial"/>
          <w:b/>
          <w:bCs/>
          <w:color w:val="181717"/>
          <w:shd w:val="clear" w:color="auto" w:fill="FFFFFF"/>
        </w:rPr>
        <w:t>17</w:t>
      </w:r>
      <w:r w:rsidR="00D530B6" w:rsidRPr="00197AF3">
        <w:rPr>
          <w:rFonts w:ascii="Arial" w:eastAsia="Arial" w:hAnsi="Arial" w:cs="Arial"/>
          <w:b/>
          <w:color w:val="000000" w:themeColor="text1"/>
        </w:rPr>
        <w:t>º</w:t>
      </w:r>
      <w:r w:rsidRPr="00197AF3">
        <w:rPr>
          <w:rFonts w:ascii="Arial" w:hAnsi="Arial" w:cs="Arial"/>
          <w:b/>
          <w:bCs/>
          <w:color w:val="181717"/>
          <w:shd w:val="clear" w:color="auto" w:fill="FFFFFF"/>
        </w:rPr>
        <w:t>. Vigencias y derogatorias.</w:t>
      </w:r>
      <w:r w:rsidRPr="00197AF3">
        <w:rPr>
          <w:rFonts w:ascii="Arial" w:hAnsi="Arial" w:cs="Arial"/>
          <w:i/>
          <w:iCs/>
          <w:color w:val="181717"/>
          <w:shd w:val="clear" w:color="auto" w:fill="FFFFFF"/>
        </w:rPr>
        <w:t> </w:t>
      </w:r>
      <w:r w:rsidRPr="00197AF3">
        <w:rPr>
          <w:rFonts w:ascii="Arial" w:hAnsi="Arial" w:cs="Arial"/>
          <w:color w:val="181717"/>
          <w:shd w:val="clear" w:color="auto" w:fill="FFFFFF"/>
        </w:rPr>
        <w:t>La presente ley rige a partir de su publicación y deroga todas las disposiciones que le sean contrarias</w:t>
      </w:r>
      <w:r w:rsidR="00490E7F">
        <w:rPr>
          <w:rFonts w:ascii="Arial" w:hAnsi="Arial" w:cs="Arial"/>
          <w:color w:val="181717"/>
          <w:shd w:val="clear" w:color="auto" w:fill="FFFFFF"/>
        </w:rPr>
        <w:t xml:space="preserve">, </w:t>
      </w:r>
      <w:r w:rsidR="00490E7F">
        <w:rPr>
          <w:rFonts w:ascii="Arial" w:hAnsi="Arial" w:cs="Arial"/>
          <w:color w:val="000000" w:themeColor="text1"/>
          <w:shd w:val="clear" w:color="auto" w:fill="FFFFFF"/>
        </w:rPr>
        <w:t xml:space="preserve">en especial los </w:t>
      </w:r>
      <w:r w:rsidR="00490E7F" w:rsidRPr="00263DED">
        <w:rPr>
          <w:rFonts w:ascii="Arial" w:hAnsi="Arial" w:cs="Arial"/>
          <w:color w:val="000000" w:themeColor="text1"/>
          <w:shd w:val="clear" w:color="auto" w:fill="FFFFFF"/>
        </w:rPr>
        <w:t xml:space="preserve">artículo </w:t>
      </w:r>
      <w:bookmarkStart w:id="30" w:name="117"/>
      <w:r w:rsidR="00490E7F" w:rsidRPr="00263DED">
        <w:rPr>
          <w:rFonts w:ascii="Arial" w:hAnsi="Arial" w:cs="Arial"/>
          <w:color w:val="000000" w:themeColor="text1"/>
        </w:rPr>
        <w:t>117</w:t>
      </w:r>
      <w:bookmarkEnd w:id="30"/>
      <w:r w:rsidR="00490E7F" w:rsidRPr="00263DED">
        <w:rPr>
          <w:rFonts w:ascii="Arial" w:hAnsi="Arial" w:cs="Arial"/>
          <w:color w:val="000000" w:themeColor="text1"/>
        </w:rPr>
        <w:t>, 122, y 123</w:t>
      </w:r>
      <w:r w:rsidR="00263DED">
        <w:rPr>
          <w:rFonts w:ascii="Arial" w:hAnsi="Arial" w:cs="Arial"/>
          <w:color w:val="000000" w:themeColor="text1"/>
        </w:rPr>
        <w:t xml:space="preserve"> de la </w:t>
      </w:r>
      <w:r w:rsidR="00263DED" w:rsidRPr="00263DED">
        <w:rPr>
          <w:rFonts w:ascii="Arial" w:hAnsi="Arial" w:cs="Arial"/>
          <w:color w:val="000000" w:themeColor="text1"/>
        </w:rPr>
        <w:t xml:space="preserve">Ley </w:t>
      </w:r>
      <w:r w:rsidR="00263DED" w:rsidRPr="00263DED">
        <w:rPr>
          <w:rFonts w:ascii="Arial" w:hAnsi="Arial" w:cs="Arial"/>
          <w:color w:val="000000"/>
        </w:rPr>
        <w:t>488 DE 1998</w:t>
      </w:r>
      <w:r w:rsidR="00490E7F" w:rsidRPr="00263DED">
        <w:rPr>
          <w:rFonts w:ascii="Arial" w:hAnsi="Arial" w:cs="Arial"/>
          <w:color w:val="000000" w:themeColor="text1"/>
        </w:rPr>
        <w:t>.</w:t>
      </w:r>
      <w:r w:rsidR="00490E7F" w:rsidRPr="00263DED">
        <w:rPr>
          <w:rFonts w:ascii="Arial" w:hAnsi="Arial" w:cs="Arial"/>
          <w:b/>
          <w:bCs/>
          <w:color w:val="000000" w:themeColor="text1"/>
          <w:sz w:val="18"/>
          <w:szCs w:val="18"/>
        </w:rPr>
        <w:t xml:space="preserve"> </w:t>
      </w:r>
    </w:p>
    <w:p w:rsidR="000072EB" w:rsidRDefault="000072EB" w:rsidP="00C31D20">
      <w:pPr>
        <w:contextualSpacing/>
        <w:jc w:val="both"/>
        <w:rPr>
          <w:rFonts w:ascii="Arial" w:hAnsi="Arial" w:cs="Arial"/>
          <w:color w:val="181717"/>
          <w:shd w:val="clear" w:color="auto" w:fill="FFFFFF"/>
        </w:rPr>
      </w:pPr>
    </w:p>
    <w:p w:rsidR="000072EB" w:rsidRDefault="000072EB" w:rsidP="00C31D20">
      <w:pPr>
        <w:contextualSpacing/>
        <w:jc w:val="both"/>
        <w:rPr>
          <w:rFonts w:ascii="Arial" w:hAnsi="Arial" w:cs="Arial"/>
          <w:color w:val="181717"/>
          <w:shd w:val="clear" w:color="auto" w:fill="FFFFFF"/>
        </w:rPr>
      </w:pPr>
    </w:p>
    <w:p w:rsidR="00263DED" w:rsidRDefault="00263DED" w:rsidP="00C31D20">
      <w:pPr>
        <w:contextualSpacing/>
        <w:jc w:val="both"/>
        <w:rPr>
          <w:rFonts w:ascii="Arial" w:hAnsi="Arial" w:cs="Arial"/>
          <w:color w:val="181717"/>
          <w:shd w:val="clear" w:color="auto" w:fill="FFFFFF"/>
        </w:rPr>
      </w:pPr>
    </w:p>
    <w:p w:rsidR="00263DED" w:rsidRDefault="00263DED" w:rsidP="006261F6">
      <w:pPr>
        <w:jc w:val="both"/>
        <w:rPr>
          <w:rFonts w:ascii="Arial" w:hAnsi="Arial" w:cs="Arial"/>
          <w:color w:val="181717"/>
          <w:shd w:val="clear" w:color="auto" w:fill="FFFFFF"/>
        </w:rPr>
      </w:pPr>
    </w:p>
    <w:p w:rsidR="000072EB" w:rsidRDefault="000072EB" w:rsidP="006261F6">
      <w:pPr>
        <w:jc w:val="both"/>
        <w:rPr>
          <w:rFonts w:ascii="Arial" w:hAnsi="Arial" w:cs="Arial"/>
          <w:color w:val="181717"/>
          <w:shd w:val="clear" w:color="auto" w:fill="FFFFFF"/>
        </w:rPr>
      </w:pPr>
    </w:p>
    <w:p w:rsidR="000072EB" w:rsidRDefault="000072EB" w:rsidP="006261F6">
      <w:pPr>
        <w:jc w:val="both"/>
        <w:rPr>
          <w:rFonts w:ascii="Arial" w:hAnsi="Arial" w:cs="Arial"/>
          <w:color w:val="181717"/>
          <w:shd w:val="clear" w:color="auto" w:fill="FFFFFF"/>
        </w:rPr>
      </w:pPr>
    </w:p>
    <w:p w:rsidR="00F90048" w:rsidRDefault="00F90048" w:rsidP="006261F6">
      <w:pPr>
        <w:jc w:val="both"/>
        <w:rPr>
          <w:rFonts w:ascii="Arial" w:hAnsi="Arial" w:cs="Arial"/>
          <w:color w:val="181717"/>
          <w:shd w:val="clear" w:color="auto" w:fill="FFFFFF"/>
        </w:rPr>
      </w:pPr>
    </w:p>
    <w:p w:rsidR="000072EB" w:rsidRPr="000072EB" w:rsidRDefault="000072EB" w:rsidP="000072EB">
      <w:pPr>
        <w:jc w:val="both"/>
        <w:rPr>
          <w:rFonts w:ascii="Arial" w:hAnsi="Arial" w:cs="Arial"/>
          <w:b/>
          <w:bCs/>
          <w:color w:val="000000" w:themeColor="text1"/>
        </w:rPr>
      </w:pPr>
      <w:r w:rsidRPr="000072EB">
        <w:rPr>
          <w:rFonts w:ascii="Arial" w:hAnsi="Arial" w:cs="Arial"/>
          <w:b/>
          <w:bCs/>
          <w:color w:val="000000" w:themeColor="text1"/>
        </w:rPr>
        <w:t>SANDRA LILIANA ORTIZ NOVA</w:t>
      </w:r>
    </w:p>
    <w:p w:rsidR="00C647DF" w:rsidRPr="00197AF3" w:rsidRDefault="000072EB" w:rsidP="006261F6">
      <w:pPr>
        <w:jc w:val="both"/>
        <w:rPr>
          <w:rFonts w:ascii="Arial" w:hAnsi="Arial" w:cs="Arial"/>
          <w:color w:val="181717"/>
          <w:shd w:val="clear" w:color="auto" w:fill="FFFFFF"/>
        </w:rPr>
      </w:pPr>
      <w:r w:rsidRPr="000072EB">
        <w:rPr>
          <w:rFonts w:ascii="Arial" w:hAnsi="Arial" w:cs="Arial"/>
          <w:b/>
          <w:bCs/>
          <w:color w:val="000000" w:themeColor="text1"/>
        </w:rPr>
        <w:t>Senadora de la Republica</w:t>
      </w:r>
    </w:p>
    <w:p w:rsidR="00AF3CBE" w:rsidRDefault="00AF3CBE" w:rsidP="006261F6">
      <w:pPr>
        <w:jc w:val="both"/>
        <w:rPr>
          <w:rFonts w:ascii="Arial" w:hAnsi="Arial" w:cs="Arial"/>
          <w:color w:val="000000" w:themeColor="text1"/>
        </w:rPr>
      </w:pPr>
    </w:p>
    <w:p w:rsidR="00692E43" w:rsidRDefault="00692E43" w:rsidP="006261F6">
      <w:pPr>
        <w:jc w:val="both"/>
        <w:rPr>
          <w:rFonts w:ascii="Arial" w:hAnsi="Arial" w:cs="Arial"/>
          <w:color w:val="000000" w:themeColor="text1"/>
        </w:rPr>
      </w:pPr>
    </w:p>
    <w:p w:rsidR="00692E43" w:rsidRDefault="00692E43" w:rsidP="006261F6">
      <w:pPr>
        <w:jc w:val="both"/>
        <w:rPr>
          <w:rFonts w:ascii="Arial" w:hAnsi="Arial" w:cs="Arial"/>
          <w:color w:val="000000" w:themeColor="text1"/>
        </w:rPr>
      </w:pPr>
    </w:p>
    <w:p w:rsidR="009458B6" w:rsidRDefault="009458B6" w:rsidP="00692E43">
      <w:pPr>
        <w:jc w:val="center"/>
        <w:rPr>
          <w:rFonts w:ascii="Arial" w:hAnsi="Arial" w:cs="Arial"/>
          <w:color w:val="000000" w:themeColor="text1"/>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r>
        <w:rPr>
          <w:rFonts w:ascii="Arial" w:hAnsi="Arial" w:cs="Arial"/>
          <w:color w:val="222222"/>
          <w:lang w:eastAsia="es-ES"/>
        </w:rPr>
        <w:lastRenderedPageBreak/>
        <w:t>_______________________________      ________________________________</w:t>
      </w: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r>
        <w:rPr>
          <w:rFonts w:ascii="Arial" w:hAnsi="Arial" w:cs="Arial"/>
          <w:color w:val="222222"/>
          <w:lang w:eastAsia="es-ES"/>
        </w:rPr>
        <w:t>_______________________________      ________________________________</w:t>
      </w: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r>
        <w:rPr>
          <w:rFonts w:ascii="Arial" w:hAnsi="Arial" w:cs="Arial"/>
          <w:color w:val="222222"/>
          <w:lang w:eastAsia="es-ES"/>
        </w:rPr>
        <w:t>_______________________________      ________________________________</w:t>
      </w: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r>
        <w:rPr>
          <w:rFonts w:ascii="Arial" w:hAnsi="Arial" w:cs="Arial"/>
          <w:color w:val="222222"/>
          <w:lang w:eastAsia="es-ES"/>
        </w:rPr>
        <w:t>_______________________________      ________________________________</w:t>
      </w: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r>
        <w:rPr>
          <w:rFonts w:ascii="Arial" w:hAnsi="Arial" w:cs="Arial"/>
          <w:color w:val="222222"/>
          <w:lang w:eastAsia="es-ES"/>
        </w:rPr>
        <w:t>_______________________________      ________________________________</w:t>
      </w: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r>
        <w:rPr>
          <w:rFonts w:ascii="Arial" w:hAnsi="Arial" w:cs="Arial"/>
          <w:color w:val="222222"/>
          <w:lang w:eastAsia="es-ES"/>
        </w:rPr>
        <w:t>_______________________________      ________________________________</w:t>
      </w: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r>
        <w:rPr>
          <w:rFonts w:ascii="Arial" w:hAnsi="Arial" w:cs="Arial"/>
          <w:color w:val="222222"/>
          <w:lang w:eastAsia="es-ES"/>
        </w:rPr>
        <w:t>_______________________________      ________________________________</w:t>
      </w: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r>
        <w:rPr>
          <w:rFonts w:ascii="Arial" w:hAnsi="Arial" w:cs="Arial"/>
          <w:color w:val="222222"/>
          <w:lang w:eastAsia="es-ES"/>
        </w:rPr>
        <w:t>_______________________________      ________________________________</w:t>
      </w: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r>
        <w:rPr>
          <w:rFonts w:ascii="Arial" w:hAnsi="Arial" w:cs="Arial"/>
          <w:color w:val="222222"/>
          <w:lang w:eastAsia="es-ES"/>
        </w:rPr>
        <w:t>_______________________________      ________________________________</w:t>
      </w: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r>
        <w:rPr>
          <w:rFonts w:ascii="Arial" w:hAnsi="Arial" w:cs="Arial"/>
          <w:color w:val="222222"/>
          <w:lang w:eastAsia="es-ES"/>
        </w:rPr>
        <w:t>_______________________________      ________________________________</w:t>
      </w: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r>
        <w:rPr>
          <w:rFonts w:ascii="Arial" w:hAnsi="Arial" w:cs="Arial"/>
          <w:color w:val="222222"/>
          <w:lang w:eastAsia="es-ES"/>
        </w:rPr>
        <w:lastRenderedPageBreak/>
        <w:t>_______________________________      ________________________________</w:t>
      </w: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r>
        <w:rPr>
          <w:rFonts w:ascii="Arial" w:hAnsi="Arial" w:cs="Arial"/>
          <w:color w:val="222222"/>
          <w:lang w:eastAsia="es-ES"/>
        </w:rPr>
        <w:t>_______________________________      ________________________________</w:t>
      </w: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r>
        <w:rPr>
          <w:rFonts w:ascii="Arial" w:hAnsi="Arial" w:cs="Arial"/>
          <w:color w:val="222222"/>
          <w:lang w:eastAsia="es-ES"/>
        </w:rPr>
        <w:t>_______________________________      ________________________________</w:t>
      </w: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r>
        <w:rPr>
          <w:rFonts w:ascii="Arial" w:hAnsi="Arial" w:cs="Arial"/>
          <w:color w:val="222222"/>
          <w:lang w:eastAsia="es-ES"/>
        </w:rPr>
        <w:t>_______________________________      ________________________________</w:t>
      </w: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r>
        <w:rPr>
          <w:rFonts w:ascii="Arial" w:hAnsi="Arial" w:cs="Arial"/>
          <w:color w:val="222222"/>
          <w:lang w:eastAsia="es-ES"/>
        </w:rPr>
        <w:t>_______________________________      ________________________________</w:t>
      </w: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r>
        <w:rPr>
          <w:rFonts w:ascii="Arial" w:hAnsi="Arial" w:cs="Arial"/>
          <w:color w:val="222222"/>
          <w:lang w:eastAsia="es-ES"/>
        </w:rPr>
        <w:t>_______________________________      ________________________________</w:t>
      </w: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r>
        <w:rPr>
          <w:rFonts w:ascii="Arial" w:hAnsi="Arial" w:cs="Arial"/>
          <w:color w:val="222222"/>
          <w:lang w:eastAsia="es-ES"/>
        </w:rPr>
        <w:t>_______________________________      ________________________________</w:t>
      </w: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r>
        <w:rPr>
          <w:rFonts w:ascii="Arial" w:hAnsi="Arial" w:cs="Arial"/>
          <w:color w:val="222222"/>
          <w:lang w:eastAsia="es-ES"/>
        </w:rPr>
        <w:t>_______________________________      ________________________________</w:t>
      </w: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r>
        <w:rPr>
          <w:rFonts w:ascii="Arial" w:hAnsi="Arial" w:cs="Arial"/>
          <w:color w:val="222222"/>
          <w:lang w:eastAsia="es-ES"/>
        </w:rPr>
        <w:t>_______________________________      ________________________________</w:t>
      </w: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r>
        <w:rPr>
          <w:rFonts w:ascii="Arial" w:hAnsi="Arial" w:cs="Arial"/>
          <w:color w:val="222222"/>
          <w:lang w:eastAsia="es-ES"/>
        </w:rPr>
        <w:t>_______________________________      ________________________________</w:t>
      </w:r>
    </w:p>
    <w:p w:rsidR="00E724EE" w:rsidRDefault="00E724EE" w:rsidP="00E724EE">
      <w:pPr>
        <w:rPr>
          <w:rFonts w:ascii="Arial" w:hAnsi="Arial" w:cs="Arial"/>
          <w:color w:val="222222"/>
          <w:lang w:eastAsia="es-ES"/>
        </w:rPr>
      </w:pPr>
    </w:p>
    <w:p w:rsidR="00692E43" w:rsidRDefault="00692E43" w:rsidP="00692E43">
      <w:pPr>
        <w:jc w:val="center"/>
        <w:rPr>
          <w:rFonts w:ascii="Arial" w:hAnsi="Arial" w:cs="Arial"/>
          <w:b/>
          <w:color w:val="000000"/>
          <w:shd w:val="clear" w:color="auto" w:fill="FFFFFF"/>
        </w:rPr>
      </w:pPr>
      <w:r>
        <w:rPr>
          <w:rFonts w:ascii="Arial" w:hAnsi="Arial" w:cs="Arial"/>
          <w:b/>
          <w:color w:val="000000"/>
          <w:shd w:val="clear" w:color="auto" w:fill="FFFFFF"/>
        </w:rPr>
        <w:t xml:space="preserve">EXPOSICION DE </w:t>
      </w:r>
      <w:r w:rsidRPr="00BB640D">
        <w:rPr>
          <w:rFonts w:ascii="Arial" w:hAnsi="Arial" w:cs="Arial"/>
          <w:b/>
          <w:color w:val="000000"/>
          <w:shd w:val="clear" w:color="auto" w:fill="FFFFFF"/>
        </w:rPr>
        <w:t>MOTIVOS</w:t>
      </w:r>
    </w:p>
    <w:p w:rsidR="000072EB" w:rsidRDefault="000072EB" w:rsidP="00692E43">
      <w:pPr>
        <w:jc w:val="center"/>
        <w:rPr>
          <w:rFonts w:ascii="Arial" w:hAnsi="Arial" w:cs="Arial"/>
          <w:b/>
          <w:color w:val="000000"/>
          <w:shd w:val="clear" w:color="auto" w:fill="FFFFFF"/>
        </w:rPr>
      </w:pPr>
    </w:p>
    <w:p w:rsidR="00692E43" w:rsidRPr="00BB640D" w:rsidRDefault="00692E43" w:rsidP="00692E43">
      <w:pPr>
        <w:jc w:val="center"/>
        <w:rPr>
          <w:rFonts w:ascii="Arial" w:hAnsi="Arial" w:cs="Arial"/>
          <w:b/>
          <w:color w:val="000000"/>
          <w:shd w:val="clear" w:color="auto" w:fill="FFFFFF"/>
        </w:rPr>
      </w:pPr>
    </w:p>
    <w:p w:rsidR="00692E43" w:rsidRDefault="000072EB" w:rsidP="00692E43">
      <w:pPr>
        <w:jc w:val="both"/>
        <w:rPr>
          <w:rFonts w:ascii="Arial" w:hAnsi="Arial" w:cs="Arial"/>
          <w:color w:val="000000"/>
          <w:shd w:val="clear" w:color="auto" w:fill="FFFFFF"/>
        </w:rPr>
      </w:pPr>
      <w:r w:rsidRPr="000072EB">
        <w:rPr>
          <w:rFonts w:ascii="Arial" w:hAnsi="Arial" w:cs="Arial"/>
          <w:b/>
          <w:bCs/>
          <w:color w:val="000000"/>
          <w:shd w:val="clear" w:color="auto" w:fill="FFFFFF"/>
        </w:rPr>
        <w:t>Objetivo del Proyecto de Ley</w:t>
      </w:r>
      <w:r>
        <w:rPr>
          <w:rFonts w:ascii="Arial" w:hAnsi="Arial" w:cs="Arial"/>
          <w:b/>
          <w:bCs/>
          <w:color w:val="000000"/>
          <w:shd w:val="clear" w:color="auto" w:fill="FFFFFF"/>
        </w:rPr>
        <w:t xml:space="preserve">. </w:t>
      </w:r>
      <w:r w:rsidR="00692E43" w:rsidRPr="00DC2BCB">
        <w:rPr>
          <w:rFonts w:ascii="Arial" w:hAnsi="Arial" w:cs="Arial"/>
          <w:color w:val="000000"/>
          <w:shd w:val="clear" w:color="auto" w:fill="FFFFFF"/>
        </w:rPr>
        <w:t xml:space="preserve">El precio de la gasolina en Colombia históricamente no tuvo un comportamiento ligado al precio de paridad internacional de producción y además de esto se fijaban impuestos de manera discrecional del ministro de minas y energía en curso. Provocando efectos macroeconómicos significativos en productividad, inflación, deuda pública, inestabilidad fiscal, aumento excesivo del gasto público y desempleo. </w:t>
      </w:r>
    </w:p>
    <w:p w:rsidR="00692E43" w:rsidRPr="00DC2BCB" w:rsidRDefault="00692E43" w:rsidP="00692E43">
      <w:pPr>
        <w:jc w:val="both"/>
        <w:rPr>
          <w:rFonts w:ascii="Arial" w:hAnsi="Arial" w:cs="Arial"/>
          <w:color w:val="000000"/>
          <w:shd w:val="clear" w:color="auto" w:fill="FFFFFF"/>
        </w:rPr>
      </w:pPr>
    </w:p>
    <w:p w:rsidR="00692E43" w:rsidRDefault="00692E43" w:rsidP="00692E43">
      <w:pPr>
        <w:jc w:val="both"/>
        <w:rPr>
          <w:rFonts w:ascii="Arial" w:hAnsi="Arial" w:cs="Arial"/>
          <w:color w:val="000000"/>
          <w:shd w:val="clear" w:color="auto" w:fill="FFFFFF"/>
        </w:rPr>
      </w:pPr>
      <w:r w:rsidRPr="00DC2BCB">
        <w:rPr>
          <w:rStyle w:val="nfasis"/>
          <w:rFonts w:ascii="Arial" w:hAnsi="Arial" w:cs="Arial"/>
          <w:i w:val="0"/>
          <w:color w:val="000000"/>
        </w:rPr>
        <w:t>La base gravable con la que se calculaba la sobretasa a los combustibles era un precio ficticio fijado de manera discreta por parte del Gobierno nacional a través de Ministerio de Minas y Energía.</w:t>
      </w:r>
      <w:r w:rsidRPr="00DC2BCB">
        <w:rPr>
          <w:rFonts w:ascii="Arial" w:hAnsi="Arial" w:cs="Arial"/>
          <w:color w:val="000000"/>
          <w:shd w:val="clear" w:color="auto" w:fill="FFFFFF"/>
        </w:rPr>
        <w:t xml:space="preserve"> EL único impuesto que no estaba en base a la formula ingreso al productor era la sobretasa según el artículo 4° y 5° del decreto 1505 de 2002 la cual para la gasolina corriente es de un 20% (15% para los municipios y de un 5% para los departamentos), en el caso del ACPM es de un 6% a nivel nacional. Por lo cual el que fije la base de la sobre tasa fijaba el impuesto que se le cobraría al consumidor final.</w:t>
      </w:r>
    </w:p>
    <w:p w:rsidR="00692E43" w:rsidRPr="00DC2BCB" w:rsidRDefault="00692E43" w:rsidP="00692E43">
      <w:pPr>
        <w:jc w:val="both"/>
        <w:rPr>
          <w:rFonts w:ascii="Arial" w:hAnsi="Arial" w:cs="Arial"/>
          <w:color w:val="000000"/>
          <w:shd w:val="clear" w:color="auto" w:fill="FFFFFF"/>
        </w:rPr>
      </w:pPr>
    </w:p>
    <w:p w:rsidR="00692E43" w:rsidRDefault="000072EB" w:rsidP="00692E43">
      <w:pPr>
        <w:jc w:val="both"/>
        <w:rPr>
          <w:rStyle w:val="nfasis"/>
          <w:rFonts w:ascii="Arial" w:hAnsi="Arial" w:cs="Arial"/>
          <w:i w:val="0"/>
          <w:color w:val="000000"/>
        </w:rPr>
      </w:pPr>
      <w:r w:rsidRPr="000072EB">
        <w:rPr>
          <w:rStyle w:val="nfasis"/>
          <w:rFonts w:ascii="Arial" w:hAnsi="Arial" w:cs="Arial"/>
          <w:b/>
          <w:bCs/>
          <w:i w:val="0"/>
          <w:color w:val="000000"/>
        </w:rPr>
        <w:t>Antecendentes</w:t>
      </w:r>
      <w:r w:rsidR="008D5E4B">
        <w:rPr>
          <w:rStyle w:val="nfasis"/>
          <w:rFonts w:ascii="Arial" w:hAnsi="Arial" w:cs="Arial"/>
          <w:b/>
          <w:bCs/>
          <w:i w:val="0"/>
          <w:color w:val="000000"/>
        </w:rPr>
        <w:t xml:space="preserve"> y Normatividad</w:t>
      </w:r>
      <w:r w:rsidRPr="000072EB">
        <w:rPr>
          <w:rStyle w:val="nfasis"/>
          <w:rFonts w:ascii="Arial" w:hAnsi="Arial" w:cs="Arial"/>
          <w:b/>
          <w:bCs/>
          <w:i w:val="0"/>
          <w:color w:val="000000"/>
        </w:rPr>
        <w:t>.</w:t>
      </w:r>
      <w:r>
        <w:rPr>
          <w:rStyle w:val="nfasis"/>
          <w:rFonts w:ascii="Arial" w:hAnsi="Arial" w:cs="Arial"/>
          <w:i w:val="0"/>
          <w:color w:val="000000"/>
        </w:rPr>
        <w:t xml:space="preserve"> </w:t>
      </w:r>
      <w:r w:rsidR="00692E43" w:rsidRPr="00DC2BCB">
        <w:rPr>
          <w:rStyle w:val="nfasis"/>
          <w:rFonts w:ascii="Arial" w:hAnsi="Arial" w:cs="Arial"/>
          <w:i w:val="0"/>
          <w:color w:val="000000"/>
        </w:rPr>
        <w:t>El día 29 de Agosto del 2018 el señor David Jiménez Mejía instauro una denuncia ante la procuraduría general de la nación señalando que no hay una combinación de reglas o parámetros que permitan determinar y comprender cómo debe ser calculado este valor de referencia por parte del Ministerio de Minas y Energía</w:t>
      </w:r>
      <w:r w:rsidR="00692E43" w:rsidRPr="00DC2BCB">
        <w:rPr>
          <w:rFonts w:ascii="Arial" w:hAnsi="Arial" w:cs="Arial"/>
          <w:color w:val="000000"/>
          <w:shd w:val="clear" w:color="auto" w:fill="FFFFFF"/>
        </w:rPr>
        <w:t> y tampoco </w:t>
      </w:r>
      <w:r w:rsidR="00692E43" w:rsidRPr="00DC2BCB">
        <w:rPr>
          <w:rStyle w:val="nfasis"/>
          <w:rFonts w:ascii="Arial" w:hAnsi="Arial" w:cs="Arial"/>
          <w:i w:val="0"/>
          <w:color w:val="000000"/>
        </w:rPr>
        <w:t>cuál es la fórmula o al menos las variables que deben tenerse en cuenta, lo cual conduce a una indeterminación absoluta de la base gravable del tributo y en consecuencia a una deslegalización total en la fijación de este elemento esencial en el cálculo de la sobretasa a la gasolina en nuestro país.</w:t>
      </w:r>
    </w:p>
    <w:p w:rsidR="000072EB" w:rsidRDefault="000072EB" w:rsidP="00692E43">
      <w:pPr>
        <w:jc w:val="both"/>
        <w:rPr>
          <w:rStyle w:val="nfasis"/>
          <w:rFonts w:ascii="Arial" w:hAnsi="Arial" w:cs="Arial"/>
          <w:i w:val="0"/>
          <w:color w:val="000000"/>
        </w:rPr>
      </w:pPr>
    </w:p>
    <w:p w:rsidR="00692E43" w:rsidRDefault="00692E43" w:rsidP="00692E43">
      <w:pPr>
        <w:jc w:val="both"/>
        <w:rPr>
          <w:rFonts w:ascii="Arial" w:hAnsi="Arial" w:cs="Arial"/>
          <w:color w:val="000000"/>
          <w:shd w:val="clear" w:color="auto" w:fill="FFFFFF"/>
        </w:rPr>
      </w:pPr>
      <w:r w:rsidRPr="00DC2BCB">
        <w:rPr>
          <w:rFonts w:ascii="Arial" w:hAnsi="Arial" w:cs="Arial"/>
          <w:color w:val="000000"/>
          <w:shd w:val="clear" w:color="auto" w:fill="FFFFFF"/>
        </w:rPr>
        <w:t>El 30 de enero de 2019 la Corte Constitucional mediante Sentencia C-030 de 2019, declaró inexequible la base gravable de la sobretasa en aplicación del principio constitucional de legalidad tributaria según el cual, sólo el Congreso tiene la competencia para fijar tributos o indicar la forma como deben calcularse</w:t>
      </w:r>
      <w:r>
        <w:rPr>
          <w:rStyle w:val="Refdenotaalpie"/>
          <w:rFonts w:ascii="Arial" w:hAnsi="Arial" w:cs="Arial"/>
          <w:color w:val="000000"/>
          <w:shd w:val="clear" w:color="auto" w:fill="FFFFFF"/>
        </w:rPr>
        <w:footnoteReference w:id="1"/>
      </w:r>
      <w:r w:rsidRPr="00DC2BCB">
        <w:rPr>
          <w:rFonts w:ascii="Arial" w:hAnsi="Arial" w:cs="Arial"/>
          <w:color w:val="000000"/>
          <w:shd w:val="clear" w:color="auto" w:fill="FFFFFF"/>
        </w:rPr>
        <w:t>.</w:t>
      </w:r>
    </w:p>
    <w:p w:rsidR="00BD704B" w:rsidRDefault="00BD704B" w:rsidP="00692E43">
      <w:pPr>
        <w:jc w:val="both"/>
        <w:rPr>
          <w:rFonts w:ascii="Arial" w:hAnsi="Arial" w:cs="Arial"/>
          <w:color w:val="000000"/>
          <w:shd w:val="clear" w:color="auto" w:fill="FFFFFF"/>
        </w:rPr>
      </w:pPr>
    </w:p>
    <w:p w:rsidR="00BD704B" w:rsidRPr="00BD704B" w:rsidRDefault="00BD704B" w:rsidP="00BD704B">
      <w:pPr>
        <w:jc w:val="both"/>
        <w:rPr>
          <w:rFonts w:ascii="Arial" w:hAnsi="Arial" w:cs="Arial"/>
        </w:rPr>
      </w:pPr>
      <w:r w:rsidRPr="00BD704B">
        <w:rPr>
          <w:rFonts w:ascii="Arial" w:hAnsi="Arial" w:cs="Arial"/>
        </w:rPr>
        <w:t>En virtud a la acción pública de inconstitucionalidad, interpuesta por el ciudadano David Jiménez Mejía, la Honorable Corte Constitucional mediante sentencia C-030 de 2019, declaró la inexequibilidad del artículo 121 de la ley 488 de 1998.</w:t>
      </w:r>
    </w:p>
    <w:p w:rsidR="00BD704B" w:rsidRPr="00BD704B" w:rsidRDefault="00BD704B" w:rsidP="00BD704B">
      <w:pPr>
        <w:jc w:val="both"/>
        <w:rPr>
          <w:rFonts w:ascii="Arial" w:hAnsi="Arial" w:cs="Arial"/>
        </w:rPr>
      </w:pPr>
    </w:p>
    <w:p w:rsidR="00BD704B" w:rsidRPr="00BD704B" w:rsidRDefault="00BD704B" w:rsidP="00BD704B">
      <w:pPr>
        <w:jc w:val="both"/>
        <w:rPr>
          <w:rFonts w:ascii="Arial" w:hAnsi="Arial" w:cs="Arial"/>
        </w:rPr>
      </w:pPr>
      <w:r w:rsidRPr="00BD704B">
        <w:rPr>
          <w:rFonts w:ascii="Arial" w:hAnsi="Arial" w:cs="Arial"/>
        </w:rPr>
        <w:t xml:space="preserve">Sostuvo la Corte que el Principio de Legalidad en Materia Tributaria cobra vigencia a través de los artículos 150-12 y 338 de la Constitución Política e impone un </w:t>
      </w:r>
      <w:r w:rsidRPr="00BD704B">
        <w:rPr>
          <w:rFonts w:ascii="Arial" w:hAnsi="Arial" w:cs="Arial"/>
        </w:rPr>
        <w:lastRenderedPageBreak/>
        <w:t>procedimiento democrático representativo a fin de evitar abusos que puedan afectar a los ciudadanos garantizando al mismo tiempo la sostenibilidad del Estado. Además, indicó que de los artículos mencionados se han derivado la representación popular en el establecimiento de tributos, la certeza del tributo, la ausencia de la soberanía fiscal en potestad de las entidades territoriales y la posibilidad de la regulación de aspecto tributario por parte de las mencionadas entidades, siendo los mencionados los elementos centrales de la legalidad tributaria.</w:t>
      </w:r>
    </w:p>
    <w:p w:rsidR="00BD704B" w:rsidRPr="00BD704B" w:rsidRDefault="00BD704B" w:rsidP="00BD704B">
      <w:pPr>
        <w:jc w:val="both"/>
        <w:rPr>
          <w:rFonts w:ascii="Arial" w:hAnsi="Arial" w:cs="Arial"/>
        </w:rPr>
      </w:pPr>
    </w:p>
    <w:p w:rsidR="00BD704B" w:rsidRPr="00BD704B" w:rsidRDefault="00BD704B" w:rsidP="00BD704B">
      <w:pPr>
        <w:jc w:val="both"/>
        <w:rPr>
          <w:rFonts w:ascii="Arial" w:hAnsi="Arial" w:cs="Arial"/>
        </w:rPr>
      </w:pPr>
      <w:r w:rsidRPr="00BD704B">
        <w:rPr>
          <w:rFonts w:ascii="Arial" w:hAnsi="Arial" w:cs="Arial"/>
        </w:rPr>
        <w:t>Resaltó que por orden constitucional corresponde exclusivamente a los órganos colegiados de representación popular, imponer las contribuciones fiscales o parafiscales, siendo consecuentemente el legislador el único que puede establecer los hechos gravables y determinar de manera clara e inequívoca los elementos esenciales de los ingresos Nacionales.</w:t>
      </w:r>
    </w:p>
    <w:p w:rsidR="00BD704B" w:rsidRPr="00BD704B" w:rsidRDefault="00BD704B" w:rsidP="00BD704B">
      <w:pPr>
        <w:jc w:val="both"/>
        <w:rPr>
          <w:rFonts w:ascii="Arial" w:hAnsi="Arial" w:cs="Arial"/>
          <w:i/>
        </w:rPr>
      </w:pPr>
      <w:r w:rsidRPr="00BD704B">
        <w:rPr>
          <w:rFonts w:ascii="Arial" w:hAnsi="Arial" w:cs="Arial"/>
        </w:rPr>
        <w:t xml:space="preserve">Del principio de legalidad tributaria se deriva la certeza del tributo respecto del cual </w:t>
      </w:r>
      <w:r w:rsidRPr="00BD704B">
        <w:rPr>
          <w:rFonts w:ascii="Arial" w:hAnsi="Arial" w:cs="Arial"/>
          <w:i/>
        </w:rPr>
        <w:t>“no basta con que sean los órganos colegiados de representación popular los que fijen directamente los elementos del tributo, sino que es necesario que al hacerlo determinen con suficiente </w:t>
      </w:r>
      <w:r w:rsidRPr="00BD704B">
        <w:rPr>
          <w:rFonts w:ascii="Arial" w:hAnsi="Arial" w:cs="Arial"/>
          <w:i/>
          <w:iCs/>
        </w:rPr>
        <w:t>claridad y precisión </w:t>
      </w:r>
      <w:r w:rsidRPr="00BD704B">
        <w:rPr>
          <w:rFonts w:ascii="Arial" w:hAnsi="Arial" w:cs="Arial"/>
          <w:i/>
        </w:rPr>
        <w:t>todos y cada uno de esos componentes esenciales”</w:t>
      </w:r>
    </w:p>
    <w:p w:rsidR="00BD704B" w:rsidRPr="00BD704B" w:rsidRDefault="00BD704B" w:rsidP="00BD704B">
      <w:pPr>
        <w:jc w:val="both"/>
        <w:rPr>
          <w:rFonts w:ascii="Arial" w:hAnsi="Arial" w:cs="Arial"/>
          <w:i/>
        </w:rPr>
      </w:pPr>
    </w:p>
    <w:p w:rsidR="00BD704B" w:rsidRPr="00BD704B" w:rsidRDefault="00BD704B" w:rsidP="00BD704B">
      <w:pPr>
        <w:jc w:val="both"/>
        <w:rPr>
          <w:rFonts w:ascii="Arial" w:hAnsi="Arial" w:cs="Arial"/>
          <w:i/>
          <w:iCs/>
        </w:rPr>
      </w:pPr>
      <w:r w:rsidRPr="00BD704B">
        <w:rPr>
          <w:rFonts w:ascii="Arial" w:hAnsi="Arial" w:cs="Arial"/>
        </w:rPr>
        <w:t>La certeza tributaria permite que los ciudadanos tengan conocimiento del contenido de sus obligaciones económicas generando a su vez confianza frente a las mismas, materializada en el principio de seguridad jurídica y garantizando el debido proceso a los contribuyentes, además, la jurisprudencia constitucional ha indicado que la certeza tributaria no solo es desconocida cuando no se determinan los elementos esenciales del tributo, sino también cuando los mismos son ambiguos o confusos. Al respecto la Corte ha mantenido que la declaratoria de inexequibilidad por infracción del principio de certeza tributaria concurre “</w:t>
      </w:r>
      <w:r w:rsidRPr="00BD704B">
        <w:rPr>
          <w:rFonts w:ascii="Arial" w:hAnsi="Arial" w:cs="Arial"/>
          <w:i/>
          <w:iCs/>
        </w:rPr>
        <w:t>cuando de la prescripción dispuesta por el Legislador no sea posible dilucidar el contenido del elemento estructural del tributo”</w:t>
      </w:r>
      <w:r w:rsidRPr="00BD704B">
        <w:rPr>
          <w:rStyle w:val="Refdenotaalpie"/>
          <w:rFonts w:ascii="Arial" w:hAnsi="Arial" w:cs="Arial"/>
          <w:i/>
          <w:iCs/>
        </w:rPr>
        <w:footnoteReference w:id="2"/>
      </w:r>
    </w:p>
    <w:p w:rsidR="00BD704B" w:rsidRPr="00BD704B" w:rsidRDefault="00BD704B" w:rsidP="00BD704B">
      <w:pPr>
        <w:jc w:val="both"/>
        <w:rPr>
          <w:rFonts w:ascii="Arial" w:hAnsi="Arial" w:cs="Arial"/>
          <w:iCs/>
        </w:rPr>
      </w:pPr>
    </w:p>
    <w:p w:rsidR="00BD704B" w:rsidRPr="00BD704B" w:rsidRDefault="00BD704B" w:rsidP="00BD704B">
      <w:pPr>
        <w:jc w:val="both"/>
        <w:rPr>
          <w:rFonts w:ascii="Arial" w:hAnsi="Arial" w:cs="Arial"/>
          <w:iCs/>
        </w:rPr>
      </w:pPr>
      <w:r w:rsidRPr="00BD704B">
        <w:rPr>
          <w:rFonts w:ascii="Arial" w:hAnsi="Arial" w:cs="Arial"/>
          <w:iCs/>
        </w:rPr>
        <w:t>PRINCIPIO DE LEGALIDAD EN MATERIA TRIBUTARIA FACULTADA DEL GOBIERNO EL PRECIO DE REFERENCIA DE LOS COMBUSTIBLES-BASE GRAVABLE</w:t>
      </w:r>
    </w:p>
    <w:p w:rsidR="00BD704B" w:rsidRDefault="00BD704B" w:rsidP="00BD704B">
      <w:pPr>
        <w:jc w:val="both"/>
        <w:rPr>
          <w:rFonts w:ascii="Arial" w:hAnsi="Arial" w:cs="Arial"/>
          <w:iCs/>
        </w:rPr>
      </w:pPr>
      <w:r w:rsidRPr="00BD704B">
        <w:rPr>
          <w:rFonts w:ascii="Arial" w:hAnsi="Arial" w:cs="Arial"/>
          <w:iCs/>
        </w:rPr>
        <w:t xml:space="preserve">Al respecto la Honorable Corporación Constitucional estipuló que la delegación del establecimiento de precios de referencia como criterio para la determinación de la base gravable de una contribución y teniendo en cuenta el principio de legalidad en materia tributaria puede ser admitida siempre y cuando existan los parámetros </w:t>
      </w:r>
      <w:r w:rsidRPr="00BD704B">
        <w:rPr>
          <w:rFonts w:ascii="Arial" w:hAnsi="Arial" w:cs="Arial"/>
          <w:iCs/>
        </w:rPr>
        <w:lastRenderedPageBreak/>
        <w:t>suficientes para la definición de los precios que determinan la base gravable del tributo, parámetros que claramente deben estar concatenados con las nociones y variables económicas del momento y que deben ser precisos que no faculten de absoluta autonomía a la administración la base gravable de un tributo.</w:t>
      </w:r>
    </w:p>
    <w:p w:rsidR="000072EB" w:rsidRDefault="000072EB" w:rsidP="00BD704B">
      <w:pPr>
        <w:jc w:val="both"/>
        <w:rPr>
          <w:rFonts w:ascii="Arial" w:hAnsi="Arial" w:cs="Arial"/>
          <w:iCs/>
        </w:rPr>
      </w:pPr>
    </w:p>
    <w:p w:rsidR="009458B6" w:rsidRDefault="000072EB" w:rsidP="000072EB">
      <w:pPr>
        <w:jc w:val="both"/>
        <w:rPr>
          <w:rFonts w:ascii="Arial" w:hAnsi="Arial" w:cs="Arial"/>
          <w:i/>
          <w:iCs/>
        </w:rPr>
      </w:pPr>
      <w:r w:rsidRPr="00B269CC">
        <w:rPr>
          <w:rStyle w:val="Refdenotaalpie"/>
          <w:rFonts w:ascii="Arial" w:hAnsi="Arial" w:cs="Arial"/>
        </w:rPr>
        <w:footnoteReference w:id="3"/>
      </w:r>
      <w:r w:rsidRPr="00B269CC">
        <w:rPr>
          <w:rFonts w:ascii="Arial" w:hAnsi="Arial" w:cs="Arial"/>
        </w:rPr>
        <w:t xml:space="preserve"> </w:t>
      </w:r>
      <w:r w:rsidRPr="00171699">
        <w:rPr>
          <w:rFonts w:ascii="Arial" w:hAnsi="Arial" w:cs="Arial"/>
          <w:u w:val="single"/>
        </w:rPr>
        <w:t>CCO-2602/2011 Estudio para la Estructuración de un Programa de Aseguramiento de Calidad (QA/QC) de los Biocombustibles y sus Mezclas con Combustibles Fósiles en Colombia con proyección a los Mercados Internacionales – Informe Final</w:t>
      </w:r>
      <w:r>
        <w:rPr>
          <w:rFonts w:ascii="Arial" w:hAnsi="Arial" w:cs="Arial"/>
          <w:u w:val="single"/>
        </w:rPr>
        <w:t xml:space="preserve">: </w:t>
      </w:r>
      <w:r w:rsidRPr="00171699">
        <w:rPr>
          <w:rFonts w:ascii="Arial" w:hAnsi="Arial" w:cs="Arial"/>
          <w:i/>
          <w:iCs/>
        </w:rPr>
        <w:t xml:space="preserve">El Documento contiene el informe final del estudio para la estructuración de un programa de aseguramiento y control de calidad (QA/QC) de los biocombustibles y sus mezclas con combustibles fósiles en Colombia, con proyección hacia los mercados internacionales, desarrollado por el Consorcio Icontec-Ecofys en el marco del convenio de cooperación técnica ATN/JF-10827- CO firmado entre el Ministerio de Minas y Energía y el Banco Interamericano de Desarrollo. </w:t>
      </w:r>
    </w:p>
    <w:p w:rsidR="009458B6" w:rsidRDefault="009458B6" w:rsidP="000072EB">
      <w:pPr>
        <w:jc w:val="both"/>
        <w:rPr>
          <w:rFonts w:ascii="Arial" w:hAnsi="Arial" w:cs="Arial"/>
          <w:i/>
          <w:iCs/>
        </w:rPr>
      </w:pPr>
    </w:p>
    <w:p w:rsidR="009458B6" w:rsidRDefault="009458B6" w:rsidP="000072EB">
      <w:pPr>
        <w:jc w:val="both"/>
        <w:rPr>
          <w:rFonts w:ascii="Arial" w:hAnsi="Arial" w:cs="Arial"/>
          <w:i/>
          <w:iCs/>
        </w:rPr>
      </w:pPr>
    </w:p>
    <w:p w:rsidR="000072EB" w:rsidRPr="00BD704B" w:rsidRDefault="000072EB" w:rsidP="000072EB">
      <w:pPr>
        <w:jc w:val="both"/>
        <w:rPr>
          <w:i/>
          <w:iCs/>
          <w:u w:val="single"/>
        </w:rPr>
      </w:pPr>
      <w:r w:rsidRPr="00171699">
        <w:rPr>
          <w:rFonts w:ascii="Arial" w:hAnsi="Arial" w:cs="Arial"/>
          <w:i/>
          <w:iCs/>
        </w:rPr>
        <w:t>El objetivo del programa de aseguramiento y control de calidad de los biocombustibles y sus mezclas que se propone en este estudio es generar la confianza necesaria al mercado nacional e internacional, para lo cual se definen las acciones necesarias para garantizar que la calidad de los biocombustibles y de las mezclas que reciben los usuarios finales cumplan con las especificaciones de calidad definidas por la reglamentación nacional, que los biocombustibles colombianos cumplan con los requerimientos mínimos de calidad del mercado internacional, y que el producto o los productos que reciban los usuarios ó clientes finales cumplan con los requisitos de calidad exigidos por cada mercado objetivo. El estudio se desarrolló a través de las cinco actividades</w:t>
      </w:r>
      <w:r w:rsidRPr="00BD704B">
        <w:t xml:space="preserve"> </w:t>
      </w:r>
      <w:r w:rsidRPr="00BD704B">
        <w:rPr>
          <w:rFonts w:ascii="Arial" w:hAnsi="Arial" w:cs="Arial"/>
          <w:i/>
          <w:iCs/>
        </w:rPr>
        <w:t>principales que se relacionan en la Figura 1, la cual ilustra gráficamente cómo los resultados de las Actividades 1, 2 y 3 fueron la base para estructurar la propuesta que se incluye en este informe final.</w:t>
      </w:r>
      <w:r w:rsidRPr="00BD704B">
        <w:rPr>
          <w:rFonts w:ascii="Arial" w:hAnsi="Arial" w:cs="Arial"/>
          <w:i/>
          <w:iCs/>
          <w:u w:val="single"/>
        </w:rPr>
        <w:t xml:space="preserve"> </w:t>
      </w:r>
      <w:r w:rsidRPr="00B269CC">
        <w:rPr>
          <w:rStyle w:val="Refdenotaalpie"/>
          <w:rFonts w:ascii="Arial" w:hAnsi="Arial" w:cs="Arial"/>
        </w:rPr>
        <w:footnoteReference w:id="4"/>
      </w:r>
    </w:p>
    <w:p w:rsidR="000072EB" w:rsidRDefault="000072EB" w:rsidP="000072EB">
      <w:pPr>
        <w:jc w:val="both"/>
        <w:rPr>
          <w:rFonts w:ascii="Arial" w:hAnsi="Arial" w:cs="Arial"/>
        </w:rPr>
      </w:pPr>
    </w:p>
    <w:p w:rsidR="00263DED" w:rsidRDefault="00263DED" w:rsidP="000072EB">
      <w:pPr>
        <w:jc w:val="center"/>
        <w:rPr>
          <w:i/>
          <w:iCs/>
        </w:rPr>
      </w:pPr>
    </w:p>
    <w:p w:rsidR="00263DED" w:rsidRDefault="00263DED" w:rsidP="000072EB">
      <w:pPr>
        <w:jc w:val="center"/>
        <w:rPr>
          <w:i/>
          <w:iCs/>
        </w:rPr>
      </w:pPr>
    </w:p>
    <w:p w:rsidR="00263DED" w:rsidRDefault="00263DED" w:rsidP="000072EB">
      <w:pPr>
        <w:jc w:val="center"/>
        <w:rPr>
          <w:i/>
          <w:iCs/>
        </w:rPr>
      </w:pPr>
    </w:p>
    <w:p w:rsidR="00263DED" w:rsidRDefault="00263DED" w:rsidP="000072EB">
      <w:pPr>
        <w:jc w:val="center"/>
        <w:rPr>
          <w:i/>
          <w:iCs/>
        </w:rPr>
      </w:pPr>
    </w:p>
    <w:p w:rsidR="00263DED" w:rsidRDefault="00263DED" w:rsidP="000072EB">
      <w:pPr>
        <w:jc w:val="center"/>
        <w:rPr>
          <w:i/>
          <w:iCs/>
        </w:rPr>
      </w:pPr>
    </w:p>
    <w:p w:rsidR="000072EB" w:rsidRPr="00B269CC" w:rsidRDefault="000072EB" w:rsidP="000072EB">
      <w:pPr>
        <w:jc w:val="center"/>
        <w:rPr>
          <w:i/>
          <w:iCs/>
        </w:rPr>
      </w:pPr>
      <w:r w:rsidRPr="00B269CC">
        <w:rPr>
          <w:i/>
          <w:iCs/>
        </w:rPr>
        <w:t>Figura 1 – Actividades Principales</w:t>
      </w:r>
    </w:p>
    <w:p w:rsidR="000072EB" w:rsidRDefault="000072EB" w:rsidP="00263DED">
      <w:pPr>
        <w:jc w:val="center"/>
      </w:pPr>
      <w:r>
        <w:rPr>
          <w:noProof/>
          <w:lang w:eastAsia="es-CO"/>
        </w:rPr>
        <w:drawing>
          <wp:inline distT="0" distB="0" distL="0" distR="0" wp14:anchorId="75AD0795" wp14:editId="0A08CE2D">
            <wp:extent cx="3909270" cy="2061235"/>
            <wp:effectExtent l="0" t="0" r="254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ptura de pantalla 2019-07-16 a la(s) 4.09.15 p. 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18605" cy="2066157"/>
                    </a:xfrm>
                    <a:prstGeom prst="rect">
                      <a:avLst/>
                    </a:prstGeom>
                  </pic:spPr>
                </pic:pic>
              </a:graphicData>
            </a:graphic>
          </wp:inline>
        </w:drawing>
      </w:r>
    </w:p>
    <w:p w:rsidR="000072EB" w:rsidRDefault="000072EB" w:rsidP="000072EB"/>
    <w:p w:rsidR="000072EB" w:rsidRDefault="000072EB" w:rsidP="000072EB">
      <w:pPr>
        <w:jc w:val="both"/>
        <w:rPr>
          <w:rFonts w:ascii="Arial" w:hAnsi="Arial" w:cs="Arial"/>
        </w:rPr>
      </w:pPr>
      <w:r w:rsidRPr="00B269CC">
        <w:rPr>
          <w:rFonts w:ascii="Arial" w:hAnsi="Arial" w:cs="Arial"/>
          <w:i/>
          <w:iCs/>
        </w:rPr>
        <w:t>Las tres primeras actividades se desarrollaron de manera simultánea durante el último trimestre de 2011, y los resultados de las mismas están contenidos en dos informes entregados al Ministerio de Minas y Energía, los cuales, una vez aprobados por el Ministerio, se presentaron a todos los sectores e interesados en una sesión de socialización realizada el 18 de enero de 2012 en las instalaciones de Icontec en Bogotá. El Ministerio de Minas y Energía publicó las presentaciones de esta sesión de socialización en su página Web. El resumen ejecutivo contenido en el presente informe final incluye las principales conclusiones de estas tres primeras actividades.</w:t>
      </w:r>
      <w:r w:rsidRPr="00B269CC">
        <w:rPr>
          <w:rStyle w:val="Refdenotaalpie"/>
          <w:rFonts w:ascii="Arial" w:hAnsi="Arial" w:cs="Arial"/>
        </w:rPr>
        <w:t xml:space="preserve"> </w:t>
      </w:r>
    </w:p>
    <w:p w:rsidR="009458B6" w:rsidRPr="00B269CC" w:rsidRDefault="009458B6" w:rsidP="000072EB">
      <w:pPr>
        <w:jc w:val="both"/>
        <w:rPr>
          <w:rFonts w:ascii="Arial" w:hAnsi="Arial" w:cs="Arial"/>
        </w:rPr>
      </w:pPr>
    </w:p>
    <w:p w:rsidR="000072EB" w:rsidRDefault="000072EB" w:rsidP="000072EB">
      <w:pPr>
        <w:jc w:val="both"/>
        <w:rPr>
          <w:rFonts w:ascii="Arial" w:hAnsi="Arial" w:cs="Arial"/>
        </w:rPr>
      </w:pPr>
    </w:p>
    <w:p w:rsidR="000072EB" w:rsidRDefault="000072EB" w:rsidP="000072EB">
      <w:pPr>
        <w:jc w:val="both"/>
        <w:rPr>
          <w:rFonts w:ascii="Arial" w:hAnsi="Arial" w:cs="Arial"/>
          <w:i/>
          <w:iCs/>
        </w:rPr>
      </w:pPr>
      <w:r w:rsidRPr="00B269CC">
        <w:rPr>
          <w:rFonts w:ascii="Arial" w:hAnsi="Arial" w:cs="Arial"/>
          <w:i/>
          <w:iCs/>
        </w:rPr>
        <w:t xml:space="preserve">El informe final que aquí se presenta se concentra en el desarrollo de las Actividades 4 y 5 del estudio. La Actividad 4 consistió en estructurar una propuesta para la implementación de un programa nacional de QA/QC para la cadena de producción, almacenamiento, transporte y distribución de biocombustibles y sus mezclas con combustibles fósiles en Colombia. Con base en lo anterior se desarrolló la Actividad 5, que se refiere a la propuesta </w:t>
      </w:r>
      <w:r w:rsidRPr="00171699">
        <w:rPr>
          <w:rFonts w:ascii="Arial" w:hAnsi="Arial" w:cs="Arial"/>
          <w:i/>
          <w:iCs/>
        </w:rPr>
        <w:t xml:space="preserve">regulatoria y financiera, jurídicamente validada, para la implementación del programa de QA/QC propuesto. En la Actividad 4 se desarrollaron las siguientes tareas o sub-actividades: </w:t>
      </w:r>
    </w:p>
    <w:p w:rsidR="009458B6" w:rsidRDefault="009458B6" w:rsidP="000072EB">
      <w:pPr>
        <w:jc w:val="both"/>
        <w:rPr>
          <w:rFonts w:ascii="Arial" w:hAnsi="Arial" w:cs="Arial"/>
          <w:i/>
          <w:iCs/>
        </w:rPr>
      </w:pPr>
    </w:p>
    <w:p w:rsidR="000072EB" w:rsidRPr="00171699" w:rsidRDefault="000072EB" w:rsidP="000072EB">
      <w:pPr>
        <w:jc w:val="both"/>
        <w:rPr>
          <w:rFonts w:ascii="Arial" w:hAnsi="Arial" w:cs="Arial"/>
          <w:i/>
          <w:iCs/>
        </w:rPr>
      </w:pPr>
    </w:p>
    <w:p w:rsidR="000072EB" w:rsidRPr="00171699" w:rsidRDefault="000072EB" w:rsidP="000072EB">
      <w:pPr>
        <w:jc w:val="both"/>
        <w:rPr>
          <w:rFonts w:ascii="Arial" w:hAnsi="Arial" w:cs="Arial"/>
          <w:i/>
          <w:iCs/>
        </w:rPr>
      </w:pPr>
      <w:r w:rsidRPr="00171699">
        <w:rPr>
          <w:rFonts w:ascii="Arial" w:hAnsi="Arial" w:cs="Arial"/>
          <w:i/>
          <w:iCs/>
        </w:rPr>
        <w:sym w:font="Symbol" w:char="F0B7"/>
      </w:r>
      <w:r w:rsidRPr="00171699">
        <w:rPr>
          <w:rFonts w:ascii="Arial" w:hAnsi="Arial" w:cs="Arial"/>
          <w:i/>
          <w:iCs/>
        </w:rPr>
        <w:t xml:space="preserve"> Proponer dos alternativas de estructuración de un programa QA/QC para la cadena de producción, almacenamiento, transporte y distribución de biocombustibles y sus mezclas. </w:t>
      </w:r>
    </w:p>
    <w:p w:rsidR="000072EB" w:rsidRPr="00171699" w:rsidRDefault="000072EB" w:rsidP="000072EB">
      <w:pPr>
        <w:jc w:val="both"/>
        <w:rPr>
          <w:rFonts w:ascii="Arial" w:hAnsi="Arial" w:cs="Arial"/>
          <w:i/>
          <w:iCs/>
        </w:rPr>
      </w:pPr>
      <w:r w:rsidRPr="00171699">
        <w:rPr>
          <w:rFonts w:ascii="Arial" w:hAnsi="Arial" w:cs="Arial"/>
          <w:i/>
          <w:iCs/>
        </w:rPr>
        <w:lastRenderedPageBreak/>
        <w:sym w:font="Symbol" w:char="F0B7"/>
      </w:r>
      <w:r w:rsidRPr="00171699">
        <w:rPr>
          <w:rFonts w:ascii="Arial" w:hAnsi="Arial" w:cs="Arial"/>
          <w:i/>
          <w:iCs/>
        </w:rPr>
        <w:t xml:space="preserve"> Definir esquemas de trabajo interlaboratorios, donde se estandaricen metodologías de análisis y reporte de resultados </w:t>
      </w:r>
    </w:p>
    <w:p w:rsidR="000072EB" w:rsidRPr="00171699" w:rsidRDefault="000072EB" w:rsidP="000072EB">
      <w:pPr>
        <w:jc w:val="both"/>
        <w:rPr>
          <w:rFonts w:ascii="Arial" w:hAnsi="Arial" w:cs="Arial"/>
          <w:i/>
          <w:iCs/>
        </w:rPr>
      </w:pPr>
      <w:r w:rsidRPr="00171699">
        <w:rPr>
          <w:rFonts w:ascii="Arial" w:hAnsi="Arial" w:cs="Arial"/>
          <w:i/>
          <w:iCs/>
        </w:rPr>
        <w:sym w:font="Symbol" w:char="F0B7"/>
      </w:r>
      <w:r w:rsidRPr="00171699">
        <w:rPr>
          <w:rFonts w:ascii="Arial" w:hAnsi="Arial" w:cs="Arial"/>
          <w:i/>
          <w:iCs/>
        </w:rPr>
        <w:t xml:space="preserve"> Analizar las implicaciones normativas y reglamentarias de cada alternativa propuesta </w:t>
      </w:r>
    </w:p>
    <w:p w:rsidR="000072EB" w:rsidRPr="00171699" w:rsidRDefault="000072EB" w:rsidP="000072EB">
      <w:pPr>
        <w:jc w:val="both"/>
        <w:rPr>
          <w:rFonts w:ascii="Arial" w:hAnsi="Arial" w:cs="Arial"/>
          <w:i/>
          <w:iCs/>
        </w:rPr>
      </w:pPr>
      <w:r w:rsidRPr="00171699">
        <w:rPr>
          <w:rFonts w:ascii="Arial" w:hAnsi="Arial" w:cs="Arial"/>
          <w:i/>
          <w:iCs/>
        </w:rPr>
        <w:sym w:font="Symbol" w:char="F0B7"/>
      </w:r>
      <w:r w:rsidRPr="00171699">
        <w:rPr>
          <w:rFonts w:ascii="Arial" w:hAnsi="Arial" w:cs="Arial"/>
          <w:i/>
          <w:iCs/>
        </w:rPr>
        <w:t xml:space="preserve"> Establecer la propuesta definitiva Con base en lo anterior, la Actividad 5 consistió en el desarrollo de las siguientes tareas o subactividades: </w:t>
      </w:r>
    </w:p>
    <w:p w:rsidR="000072EB" w:rsidRPr="00171699" w:rsidRDefault="000072EB" w:rsidP="000072EB">
      <w:pPr>
        <w:jc w:val="both"/>
        <w:rPr>
          <w:rFonts w:ascii="Arial" w:hAnsi="Arial" w:cs="Arial"/>
          <w:i/>
          <w:iCs/>
        </w:rPr>
      </w:pPr>
      <w:r w:rsidRPr="00171699">
        <w:rPr>
          <w:rFonts w:ascii="Arial" w:hAnsi="Arial" w:cs="Arial"/>
          <w:i/>
          <w:iCs/>
        </w:rPr>
        <w:sym w:font="Symbol" w:char="F0B7"/>
      </w:r>
      <w:r w:rsidRPr="00171699">
        <w:rPr>
          <w:rFonts w:ascii="Arial" w:hAnsi="Arial" w:cs="Arial"/>
          <w:i/>
          <w:iCs/>
        </w:rPr>
        <w:t xml:space="preserve"> Presentar la propuesta regulatoria, jurídicamente validada, para la modificación y/o ampliación de la normatividad y reglamentación actual, que permita la implementación exitosa de la propuesta del programa nacional de QA/QC y su sostenibilidad </w:t>
      </w:r>
    </w:p>
    <w:p w:rsidR="000072EB" w:rsidRPr="00171699" w:rsidRDefault="000072EB" w:rsidP="000072EB">
      <w:pPr>
        <w:jc w:val="both"/>
        <w:rPr>
          <w:rFonts w:ascii="Arial" w:hAnsi="Arial" w:cs="Arial"/>
          <w:i/>
          <w:iCs/>
        </w:rPr>
      </w:pPr>
      <w:r w:rsidRPr="00171699">
        <w:rPr>
          <w:rFonts w:ascii="Arial" w:hAnsi="Arial" w:cs="Arial"/>
          <w:i/>
          <w:iCs/>
        </w:rPr>
        <w:sym w:font="Symbol" w:char="F0B7"/>
      </w:r>
      <w:r w:rsidRPr="00171699">
        <w:rPr>
          <w:rFonts w:ascii="Arial" w:hAnsi="Arial" w:cs="Arial"/>
          <w:i/>
          <w:iCs/>
        </w:rPr>
        <w:t xml:space="preserve"> Realizar y presentar los análisis de costos detallados de implementación, operación y sostenibilidad de la alternativa seleccionada </w:t>
      </w:r>
    </w:p>
    <w:p w:rsidR="000072EB" w:rsidRPr="00171699" w:rsidRDefault="000072EB" w:rsidP="000072EB">
      <w:pPr>
        <w:jc w:val="both"/>
        <w:rPr>
          <w:rFonts w:ascii="Arial" w:hAnsi="Arial" w:cs="Arial"/>
          <w:i/>
          <w:iCs/>
        </w:rPr>
      </w:pPr>
      <w:r w:rsidRPr="00171699">
        <w:rPr>
          <w:rFonts w:ascii="Arial" w:hAnsi="Arial" w:cs="Arial"/>
          <w:i/>
          <w:iCs/>
        </w:rPr>
        <w:sym w:font="Symbol" w:char="F0B7"/>
      </w:r>
      <w:r w:rsidRPr="00171699">
        <w:rPr>
          <w:rFonts w:ascii="Arial" w:hAnsi="Arial" w:cs="Arial"/>
          <w:i/>
          <w:iCs/>
        </w:rPr>
        <w:t xml:space="preserve"> Presentar alternativas para financiación de la implementación y sostenibilidad del programa de QA/QC propuesto. </w:t>
      </w:r>
    </w:p>
    <w:p w:rsidR="000072EB" w:rsidRPr="00171699" w:rsidRDefault="000072EB" w:rsidP="000072EB">
      <w:pPr>
        <w:jc w:val="both"/>
        <w:rPr>
          <w:rFonts w:ascii="Arial" w:hAnsi="Arial" w:cs="Arial"/>
          <w:i/>
          <w:iCs/>
        </w:rPr>
      </w:pPr>
      <w:r w:rsidRPr="00171699">
        <w:rPr>
          <w:rFonts w:ascii="Arial" w:hAnsi="Arial" w:cs="Arial"/>
          <w:i/>
          <w:iCs/>
        </w:rPr>
        <w:sym w:font="Symbol" w:char="F0B7"/>
      </w:r>
      <w:r w:rsidRPr="00171699">
        <w:rPr>
          <w:rFonts w:ascii="Arial" w:hAnsi="Arial" w:cs="Arial"/>
          <w:i/>
          <w:iCs/>
        </w:rPr>
        <w:t xml:space="preserve"> Socializar los resultados del proyecto </w:t>
      </w:r>
    </w:p>
    <w:p w:rsidR="000072EB" w:rsidRDefault="000072EB" w:rsidP="000072EB">
      <w:pPr>
        <w:jc w:val="both"/>
        <w:rPr>
          <w:rFonts w:ascii="Arial" w:hAnsi="Arial" w:cs="Arial"/>
          <w:i/>
          <w:iCs/>
        </w:rPr>
      </w:pPr>
      <w:r w:rsidRPr="00171699">
        <w:rPr>
          <w:rFonts w:ascii="Arial" w:hAnsi="Arial" w:cs="Arial"/>
          <w:i/>
          <w:iCs/>
        </w:rPr>
        <w:sym w:font="Symbol" w:char="F0B7"/>
      </w:r>
      <w:r w:rsidRPr="00171699">
        <w:rPr>
          <w:rFonts w:ascii="Arial" w:hAnsi="Arial" w:cs="Arial"/>
          <w:i/>
          <w:iCs/>
        </w:rPr>
        <w:t xml:space="preserve"> Ajustar la propuesta final con base en los comentarios recibidos en la socialización Estas dos actividades se desarrollaron durante el primer trimestre de 2012. </w:t>
      </w:r>
    </w:p>
    <w:p w:rsidR="009458B6" w:rsidRPr="00171699" w:rsidRDefault="009458B6" w:rsidP="000072EB">
      <w:pPr>
        <w:jc w:val="both"/>
        <w:rPr>
          <w:rFonts w:ascii="Arial" w:hAnsi="Arial" w:cs="Arial"/>
          <w:i/>
          <w:iCs/>
        </w:rPr>
      </w:pPr>
    </w:p>
    <w:p w:rsidR="000072EB" w:rsidRPr="00171699" w:rsidRDefault="000072EB" w:rsidP="000072EB">
      <w:pPr>
        <w:jc w:val="both"/>
        <w:rPr>
          <w:rFonts w:ascii="Arial" w:hAnsi="Arial" w:cs="Arial"/>
          <w:i/>
          <w:iCs/>
        </w:rPr>
      </w:pPr>
    </w:p>
    <w:p w:rsidR="000072EB" w:rsidRDefault="000072EB" w:rsidP="000072EB">
      <w:pPr>
        <w:jc w:val="both"/>
        <w:rPr>
          <w:rFonts w:ascii="Arial" w:hAnsi="Arial" w:cs="Arial"/>
          <w:i/>
          <w:iCs/>
        </w:rPr>
      </w:pPr>
      <w:r w:rsidRPr="00171699">
        <w:rPr>
          <w:rFonts w:ascii="Arial" w:hAnsi="Arial" w:cs="Arial"/>
          <w:i/>
          <w:iCs/>
        </w:rPr>
        <w:t xml:space="preserve">El 15 de marzo de 2012 se realizó la socialización de la propuesta para la estructuración de un programa de aseguramiento y control de calidad (QA/QC) de los biocombustibles y sus mezclas con combustibles fósiles en Colombia, con proyección hacia los mercados internacionales. El evento se realizó en las instalaciones de Icontec en Bogotá, con transmisión simultánea mediante el sistema de telepresencia a las seccionales de Icontec en Medellín, Barranquilla y Bucaramanga. Posteriormente se realizaron dos mesas técnicas de trabajo para discutir los ajustes que estaba recomendando la consultoría en cuanto a parámetros de calidad y métodos de ensayo. </w:t>
      </w:r>
    </w:p>
    <w:p w:rsidR="009458B6" w:rsidRPr="00171699" w:rsidRDefault="009458B6" w:rsidP="000072EB">
      <w:pPr>
        <w:jc w:val="both"/>
        <w:rPr>
          <w:rFonts w:ascii="Arial" w:hAnsi="Arial" w:cs="Arial"/>
          <w:i/>
          <w:iCs/>
        </w:rPr>
      </w:pPr>
    </w:p>
    <w:p w:rsidR="000072EB" w:rsidRPr="00171699" w:rsidRDefault="000072EB" w:rsidP="000072EB">
      <w:pPr>
        <w:jc w:val="both"/>
        <w:rPr>
          <w:rFonts w:ascii="Arial" w:hAnsi="Arial" w:cs="Arial"/>
          <w:i/>
          <w:iCs/>
        </w:rPr>
      </w:pPr>
    </w:p>
    <w:p w:rsidR="000072EB" w:rsidRPr="00171699" w:rsidRDefault="000072EB" w:rsidP="000072EB">
      <w:pPr>
        <w:jc w:val="both"/>
        <w:rPr>
          <w:rFonts w:ascii="Arial" w:hAnsi="Arial" w:cs="Arial"/>
          <w:i/>
          <w:iCs/>
        </w:rPr>
      </w:pPr>
      <w:r w:rsidRPr="00171699">
        <w:rPr>
          <w:rFonts w:ascii="Arial" w:hAnsi="Arial" w:cs="Arial"/>
          <w:i/>
          <w:iCs/>
        </w:rPr>
        <w:t>Adicionalmente a la sesión inicial y a las mesas técnicas mencionadas, el equipo consultor realizó tres sesiones adicionales de socialización, así:</w:t>
      </w:r>
      <w:r w:rsidRPr="00171699">
        <w:rPr>
          <w:rStyle w:val="Refdenotaalpie"/>
          <w:rFonts w:ascii="Arial" w:hAnsi="Arial" w:cs="Arial"/>
        </w:rPr>
        <w:t xml:space="preserve"> </w:t>
      </w:r>
    </w:p>
    <w:p w:rsidR="000072EB" w:rsidRPr="00171699" w:rsidRDefault="000072EB" w:rsidP="000072EB">
      <w:pPr>
        <w:jc w:val="both"/>
        <w:rPr>
          <w:rFonts w:ascii="Arial" w:hAnsi="Arial" w:cs="Arial"/>
          <w:i/>
          <w:iCs/>
        </w:rPr>
      </w:pPr>
      <w:r w:rsidRPr="00171699">
        <w:rPr>
          <w:rFonts w:ascii="Arial" w:hAnsi="Arial" w:cs="Arial"/>
          <w:i/>
          <w:iCs/>
        </w:rPr>
        <w:t xml:space="preserve"> </w:t>
      </w:r>
      <w:r w:rsidRPr="00171699">
        <w:rPr>
          <w:rFonts w:ascii="Arial" w:hAnsi="Arial" w:cs="Arial"/>
          <w:i/>
          <w:iCs/>
        </w:rPr>
        <w:sym w:font="Symbol" w:char="F0B7"/>
      </w:r>
      <w:r w:rsidRPr="00171699">
        <w:rPr>
          <w:rFonts w:ascii="Arial" w:hAnsi="Arial" w:cs="Arial"/>
          <w:i/>
          <w:iCs/>
        </w:rPr>
        <w:t xml:space="preserve"> La primera sesión adicional se realizó el 21 de marzo en las oficinas de Asocaña en Cali, debido a que por fallas técnicas el día de la socialización general la seccional de Icontec en esa ciudad no se pudo conectar a la misma. A esta reunión asistieron principalmente los productores de alcohol carburante. </w:t>
      </w:r>
    </w:p>
    <w:p w:rsidR="000072EB" w:rsidRPr="00171699" w:rsidRDefault="000072EB" w:rsidP="000072EB">
      <w:pPr>
        <w:jc w:val="both"/>
        <w:rPr>
          <w:rFonts w:ascii="Arial" w:hAnsi="Arial" w:cs="Arial"/>
          <w:i/>
          <w:iCs/>
        </w:rPr>
      </w:pPr>
      <w:r w:rsidRPr="00171699">
        <w:rPr>
          <w:rFonts w:ascii="Arial" w:hAnsi="Arial" w:cs="Arial"/>
          <w:i/>
          <w:iCs/>
        </w:rPr>
        <w:sym w:font="Symbol" w:char="F0B7"/>
      </w:r>
      <w:r w:rsidRPr="00171699">
        <w:rPr>
          <w:rFonts w:ascii="Arial" w:hAnsi="Arial" w:cs="Arial"/>
          <w:i/>
          <w:iCs/>
        </w:rPr>
        <w:t xml:space="preserve"> La segunda sesión adicional de socialización se realizó el 29 de marzo durante la Asamblea de Fendipetróleo Seccional Bogotá, Cundinamarca y Llanos Orientales dirigida a los distribuidores minoristas. </w:t>
      </w:r>
    </w:p>
    <w:p w:rsidR="000072EB" w:rsidRPr="00171699" w:rsidRDefault="000072EB" w:rsidP="000072EB">
      <w:pPr>
        <w:jc w:val="both"/>
        <w:rPr>
          <w:rFonts w:ascii="Arial" w:hAnsi="Arial" w:cs="Arial"/>
          <w:i/>
          <w:iCs/>
        </w:rPr>
      </w:pPr>
      <w:r w:rsidRPr="00171699">
        <w:rPr>
          <w:rFonts w:ascii="Arial" w:hAnsi="Arial" w:cs="Arial"/>
          <w:i/>
          <w:iCs/>
        </w:rPr>
        <w:lastRenderedPageBreak/>
        <w:sym w:font="Symbol" w:char="F0B7"/>
      </w:r>
      <w:r w:rsidRPr="00171699">
        <w:rPr>
          <w:rFonts w:ascii="Arial" w:hAnsi="Arial" w:cs="Arial"/>
          <w:i/>
          <w:iCs/>
        </w:rPr>
        <w:t xml:space="preserve"> La tercera se realizó el 24 de Abril en la sede de Fendipetróleo Nacional en Bogotá, con la presencia de los Presidentes y Directores Ejecutivos de las 17 seccionales de Fendipetróleo en el país. </w:t>
      </w:r>
      <w:r w:rsidRPr="00B269CC">
        <w:rPr>
          <w:rStyle w:val="Refdenotaalpie"/>
          <w:rFonts w:ascii="Arial" w:hAnsi="Arial" w:cs="Arial"/>
        </w:rPr>
        <w:footnoteReference w:id="5"/>
      </w:r>
    </w:p>
    <w:p w:rsidR="000072EB" w:rsidRDefault="000072EB" w:rsidP="000072EB">
      <w:pPr>
        <w:jc w:val="both"/>
        <w:rPr>
          <w:rFonts w:ascii="Arial" w:hAnsi="Arial" w:cs="Arial"/>
          <w:i/>
          <w:iCs/>
        </w:rPr>
      </w:pPr>
    </w:p>
    <w:p w:rsidR="009458B6" w:rsidRPr="00171699" w:rsidRDefault="009458B6" w:rsidP="000072EB">
      <w:pPr>
        <w:jc w:val="both"/>
        <w:rPr>
          <w:rFonts w:ascii="Arial" w:hAnsi="Arial" w:cs="Arial"/>
          <w:i/>
          <w:iCs/>
        </w:rPr>
      </w:pPr>
    </w:p>
    <w:p w:rsidR="009458B6" w:rsidRDefault="000072EB" w:rsidP="000072EB">
      <w:pPr>
        <w:jc w:val="both"/>
        <w:rPr>
          <w:rFonts w:ascii="Arial" w:hAnsi="Arial" w:cs="Arial"/>
          <w:i/>
          <w:iCs/>
        </w:rPr>
      </w:pPr>
      <w:r w:rsidRPr="00171699">
        <w:rPr>
          <w:rFonts w:ascii="Arial" w:hAnsi="Arial" w:cs="Arial"/>
          <w:i/>
          <w:iCs/>
        </w:rPr>
        <w:t xml:space="preserve">La propuesta final contiene los ajustes identificados por el equipo consultor como resultado de los comentarios recibidos de los asistentes durante estas sesiones de socialización y en las mesas técnicas de trabajo. Después de la entrega del presente informe el equipo consultor realizará una sesión adicional de socialización para el sector minorista el 4 de mayo de 2012 en una reunión con el Presidente y algunos miembros de la Junta Directiva y afiliados de Fedispetrol, que se realizará en las oficinas de esa entidad gremial en Bogotá. </w:t>
      </w:r>
    </w:p>
    <w:p w:rsidR="009458B6" w:rsidRDefault="009458B6" w:rsidP="000072EB">
      <w:pPr>
        <w:jc w:val="both"/>
        <w:rPr>
          <w:rFonts w:ascii="Arial" w:hAnsi="Arial" w:cs="Arial"/>
          <w:i/>
          <w:iCs/>
        </w:rPr>
      </w:pPr>
    </w:p>
    <w:p w:rsidR="009458B6" w:rsidRDefault="009458B6" w:rsidP="000072EB">
      <w:pPr>
        <w:jc w:val="both"/>
        <w:rPr>
          <w:rFonts w:ascii="Arial" w:hAnsi="Arial" w:cs="Arial"/>
          <w:i/>
          <w:iCs/>
        </w:rPr>
      </w:pPr>
    </w:p>
    <w:p w:rsidR="000072EB" w:rsidRPr="00171699" w:rsidRDefault="000072EB" w:rsidP="000072EB">
      <w:pPr>
        <w:jc w:val="both"/>
        <w:rPr>
          <w:rFonts w:ascii="Arial" w:hAnsi="Arial" w:cs="Arial"/>
          <w:i/>
          <w:iCs/>
        </w:rPr>
      </w:pPr>
      <w:r w:rsidRPr="00171699">
        <w:rPr>
          <w:rFonts w:ascii="Arial" w:hAnsi="Arial" w:cs="Arial"/>
          <w:i/>
          <w:iCs/>
        </w:rPr>
        <w:t xml:space="preserve">Finalmente, el equipo consultor presentará la propuesta para el control y aseguramiento de la calidad (QA/QC) de los biocombustibles y sus mezclas con combustibles fósiles en la socialización de la estrategia "Energía Sostenible para Colombia" convocada por el Ministerio de Minas y Energía para el 8 de mayo de 2012 en Bogotá. Durante esta socialización se presentarán los diferentes estudios y evaluaciones realizados en el marco de la cooperación técnica suscrita con el Banco Interamericano de Desarrollo (BID), financiada por el Fondo Especial Japonés (JSF) y el Fondo de Consultoría Japonés (JCF). </w:t>
      </w:r>
    </w:p>
    <w:p w:rsidR="000072EB" w:rsidRDefault="000072EB" w:rsidP="000072EB">
      <w:pPr>
        <w:jc w:val="both"/>
        <w:rPr>
          <w:rFonts w:ascii="Arial" w:hAnsi="Arial" w:cs="Arial"/>
          <w:i/>
          <w:iCs/>
        </w:rPr>
      </w:pPr>
    </w:p>
    <w:p w:rsidR="009458B6" w:rsidRPr="00171699" w:rsidRDefault="009458B6" w:rsidP="000072EB">
      <w:pPr>
        <w:jc w:val="both"/>
        <w:rPr>
          <w:rFonts w:ascii="Arial" w:hAnsi="Arial" w:cs="Arial"/>
          <w:i/>
          <w:iCs/>
        </w:rPr>
      </w:pPr>
    </w:p>
    <w:p w:rsidR="000072EB" w:rsidRDefault="000072EB" w:rsidP="000072EB">
      <w:pPr>
        <w:jc w:val="both"/>
        <w:rPr>
          <w:rFonts w:ascii="Arial" w:hAnsi="Arial" w:cs="Arial"/>
          <w:i/>
          <w:iCs/>
        </w:rPr>
      </w:pPr>
      <w:r w:rsidRPr="00171699">
        <w:rPr>
          <w:rFonts w:ascii="Arial" w:hAnsi="Arial" w:cs="Arial"/>
          <w:i/>
          <w:iCs/>
        </w:rPr>
        <w:t xml:space="preserve">El informe final contiene la siguiente información y documentos de acuerdo con los términos de referencia del proyecto: </w:t>
      </w:r>
    </w:p>
    <w:p w:rsidR="009458B6" w:rsidRPr="00171699" w:rsidRDefault="009458B6" w:rsidP="000072EB">
      <w:pPr>
        <w:jc w:val="both"/>
        <w:rPr>
          <w:rFonts w:ascii="Arial" w:hAnsi="Arial" w:cs="Arial"/>
          <w:i/>
          <w:iCs/>
        </w:rPr>
      </w:pPr>
    </w:p>
    <w:p w:rsidR="000072EB" w:rsidRPr="00171699" w:rsidRDefault="000072EB" w:rsidP="000072EB">
      <w:pPr>
        <w:jc w:val="both"/>
        <w:rPr>
          <w:rFonts w:ascii="Arial" w:hAnsi="Arial" w:cs="Arial"/>
          <w:i/>
          <w:iCs/>
        </w:rPr>
      </w:pPr>
    </w:p>
    <w:p w:rsidR="000072EB" w:rsidRPr="00171699" w:rsidRDefault="000072EB" w:rsidP="000072EB">
      <w:pPr>
        <w:jc w:val="both"/>
        <w:rPr>
          <w:rFonts w:ascii="Arial" w:hAnsi="Arial" w:cs="Arial"/>
          <w:i/>
          <w:iCs/>
        </w:rPr>
      </w:pPr>
      <w:r w:rsidRPr="00171699">
        <w:rPr>
          <w:rFonts w:ascii="Arial" w:hAnsi="Arial" w:cs="Arial"/>
          <w:i/>
          <w:iCs/>
        </w:rPr>
        <w:sym w:font="Symbol" w:char="F0B7"/>
      </w:r>
      <w:r w:rsidRPr="00171699">
        <w:rPr>
          <w:rFonts w:ascii="Arial" w:hAnsi="Arial" w:cs="Arial"/>
          <w:i/>
          <w:iCs/>
        </w:rPr>
        <w:t xml:space="preserve"> Un informe ejecutivo de los resultados del proyecto </w:t>
      </w:r>
    </w:p>
    <w:p w:rsidR="000072EB" w:rsidRPr="00171699" w:rsidRDefault="000072EB" w:rsidP="000072EB">
      <w:pPr>
        <w:jc w:val="both"/>
        <w:rPr>
          <w:rFonts w:ascii="Arial" w:hAnsi="Arial" w:cs="Arial"/>
          <w:i/>
          <w:iCs/>
        </w:rPr>
      </w:pPr>
      <w:r w:rsidRPr="00171699">
        <w:rPr>
          <w:rFonts w:ascii="Arial" w:hAnsi="Arial" w:cs="Arial"/>
          <w:i/>
          <w:iCs/>
        </w:rPr>
        <w:sym w:font="Symbol" w:char="F0B7"/>
      </w:r>
      <w:r w:rsidRPr="00171699">
        <w:rPr>
          <w:rFonts w:ascii="Arial" w:hAnsi="Arial" w:cs="Arial"/>
          <w:i/>
          <w:iCs/>
        </w:rPr>
        <w:t xml:space="preserve"> Los resultados de la actividad 4, incluyendo la propuesta detallada para la estructuración del programa de QA/QC para la cadena de producción, almacenamiento, transporte y distribución de biocombustibles y sus mezclas con combustibles fósiles</w:t>
      </w:r>
    </w:p>
    <w:p w:rsidR="000072EB" w:rsidRPr="00171699" w:rsidRDefault="000072EB" w:rsidP="000072EB">
      <w:pPr>
        <w:jc w:val="both"/>
        <w:rPr>
          <w:rFonts w:ascii="Arial" w:hAnsi="Arial" w:cs="Arial"/>
          <w:i/>
          <w:iCs/>
        </w:rPr>
      </w:pPr>
      <w:r w:rsidRPr="00171699">
        <w:rPr>
          <w:rFonts w:ascii="Arial" w:hAnsi="Arial" w:cs="Arial"/>
          <w:i/>
          <w:iCs/>
        </w:rPr>
        <w:sym w:font="Symbol" w:char="F0B7"/>
      </w:r>
      <w:r w:rsidRPr="00171699">
        <w:rPr>
          <w:rFonts w:ascii="Arial" w:hAnsi="Arial" w:cs="Arial"/>
          <w:i/>
          <w:iCs/>
        </w:rPr>
        <w:t xml:space="preserve"> La propuesta reglamentaria y financiera definida en la Actividad 5, validada jurídicamente </w:t>
      </w:r>
    </w:p>
    <w:p w:rsidR="000072EB" w:rsidRDefault="000072EB" w:rsidP="000072EB">
      <w:pPr>
        <w:jc w:val="both"/>
        <w:rPr>
          <w:rFonts w:ascii="Arial" w:hAnsi="Arial" w:cs="Arial"/>
        </w:rPr>
      </w:pPr>
      <w:r w:rsidRPr="00171699">
        <w:rPr>
          <w:rFonts w:ascii="Arial" w:hAnsi="Arial" w:cs="Arial"/>
          <w:i/>
          <w:iCs/>
        </w:rPr>
        <w:sym w:font="Symbol" w:char="F0B7"/>
      </w:r>
      <w:r w:rsidRPr="00171699">
        <w:rPr>
          <w:rFonts w:ascii="Arial" w:hAnsi="Arial" w:cs="Arial"/>
          <w:i/>
          <w:iCs/>
        </w:rPr>
        <w:t xml:space="preserve"> Análisis a los comentarios producto de la socialización final realizada y respuesta a las inquietudes presentadas</w:t>
      </w:r>
      <w:r>
        <w:rPr>
          <w:rFonts w:ascii="Arial" w:hAnsi="Arial" w:cs="Arial"/>
        </w:rPr>
        <w:t>.</w:t>
      </w:r>
      <w:r w:rsidRPr="00171699">
        <w:rPr>
          <w:rFonts w:ascii="Arial" w:hAnsi="Arial" w:cs="Arial"/>
          <w:i/>
          <w:iCs/>
        </w:rPr>
        <w:t xml:space="preserve"> </w:t>
      </w:r>
      <w:r w:rsidRPr="00B269CC">
        <w:rPr>
          <w:rStyle w:val="Refdenotaalpie"/>
          <w:rFonts w:ascii="Arial" w:hAnsi="Arial" w:cs="Arial"/>
        </w:rPr>
        <w:footnoteReference w:id="6"/>
      </w:r>
    </w:p>
    <w:p w:rsidR="00692E43" w:rsidRDefault="00692E43" w:rsidP="00692E43">
      <w:pPr>
        <w:jc w:val="both"/>
        <w:rPr>
          <w:rStyle w:val="nfasis"/>
          <w:rFonts w:ascii="Arial" w:hAnsi="Arial" w:cs="Arial"/>
          <w:i w:val="0"/>
          <w:iCs w:val="0"/>
          <w:color w:val="000000"/>
          <w:shd w:val="clear" w:color="auto" w:fill="FFFFFF"/>
        </w:rPr>
      </w:pPr>
    </w:p>
    <w:p w:rsidR="009458B6" w:rsidRPr="00DC2BCB" w:rsidRDefault="009458B6" w:rsidP="00692E43">
      <w:pPr>
        <w:jc w:val="both"/>
        <w:rPr>
          <w:rStyle w:val="nfasis"/>
          <w:rFonts w:ascii="Arial" w:hAnsi="Arial" w:cs="Arial"/>
          <w:i w:val="0"/>
          <w:iCs w:val="0"/>
          <w:color w:val="000000"/>
          <w:shd w:val="clear" w:color="auto" w:fill="FFFFFF"/>
        </w:rPr>
      </w:pPr>
    </w:p>
    <w:p w:rsidR="00692E43" w:rsidRDefault="000072EB" w:rsidP="00692E43">
      <w:pPr>
        <w:jc w:val="both"/>
        <w:rPr>
          <w:rFonts w:ascii="Arial" w:hAnsi="Arial" w:cs="Arial"/>
          <w:color w:val="000000"/>
          <w:shd w:val="clear" w:color="auto" w:fill="FFFFFF"/>
        </w:rPr>
      </w:pPr>
      <w:r w:rsidRPr="000072EB">
        <w:rPr>
          <w:rFonts w:ascii="Arial" w:hAnsi="Arial" w:cs="Arial"/>
          <w:b/>
          <w:bCs/>
          <w:color w:val="000000"/>
          <w:shd w:val="clear" w:color="auto" w:fill="FFFFFF"/>
        </w:rPr>
        <w:t xml:space="preserve">Evidencia de la variacion de precios. </w:t>
      </w:r>
      <w:r w:rsidR="00692E43" w:rsidRPr="00544931">
        <w:rPr>
          <w:rFonts w:ascii="Arial" w:hAnsi="Arial" w:cs="Arial"/>
          <w:color w:val="000000"/>
          <w:shd w:val="clear" w:color="auto" w:fill="FFFFFF"/>
        </w:rPr>
        <w:t xml:space="preserve">Según estudios realizados por </w:t>
      </w:r>
      <w:r w:rsidR="00692E43" w:rsidRPr="00544931">
        <w:rPr>
          <w:rStyle w:val="nfasis"/>
          <w:rFonts w:ascii="Arial" w:hAnsi="Arial" w:cs="Arial"/>
          <w:i w:val="0"/>
          <w:color w:val="000000"/>
        </w:rPr>
        <w:t xml:space="preserve">Víctor David Bernal Pavas y David Jiménez Mejía estudiantes de la Universidad de Antioquia asesorados por el profesor y economista </w:t>
      </w:r>
      <w:r w:rsidR="00692E43" w:rsidRPr="00544931">
        <w:rPr>
          <w:rStyle w:val="Textoennegrita"/>
          <w:rFonts w:ascii="Arial" w:hAnsi="Arial" w:cs="Arial"/>
          <w:color w:val="000000"/>
        </w:rPr>
        <w:t>Jaime Alberto Montoya Arbeláez</w:t>
      </w:r>
      <w:r w:rsidR="00692E43" w:rsidRPr="00544931">
        <w:rPr>
          <w:rFonts w:ascii="Arial" w:hAnsi="Arial" w:cs="Arial"/>
          <w:b/>
          <w:color w:val="000000"/>
          <w:shd w:val="clear" w:color="auto" w:fill="FFFFFF"/>
        </w:rPr>
        <w:t xml:space="preserve"> </w:t>
      </w:r>
      <w:r w:rsidR="00692E43" w:rsidRPr="00544931">
        <w:rPr>
          <w:rFonts w:ascii="Arial" w:hAnsi="Arial" w:cs="Arial"/>
          <w:color w:val="000000"/>
          <w:shd w:val="clear" w:color="auto" w:fill="FFFFFF"/>
        </w:rPr>
        <w:t>hallaron y denunciaron falta de claridad y amaño en la forma de cálculo, en lo que corresponde a los tributos que representa casi una cuarta parte del precio final</w:t>
      </w:r>
      <w:r w:rsidR="00692E43">
        <w:rPr>
          <w:rStyle w:val="Refdenotaalpie"/>
          <w:rFonts w:ascii="Arial" w:hAnsi="Arial" w:cs="Arial"/>
        </w:rPr>
        <w:footnoteReference w:id="7"/>
      </w:r>
      <w:r w:rsidR="00692E43" w:rsidRPr="00544931">
        <w:rPr>
          <w:rFonts w:ascii="Arial" w:hAnsi="Arial" w:cs="Arial"/>
          <w:color w:val="000000"/>
          <w:shd w:val="clear" w:color="auto" w:fill="FFFFFF"/>
        </w:rPr>
        <w:t>. Estas acusaciones se confirman y evidencian en un estudio posterior realizado por Juliana Franco Orjuela junto con el profesor y PhD en finanzas Sergio Cabrales Arévalo de la Universidad de Los Andes en el que es evidente que el precio teórico del</w:t>
      </w:r>
      <w:r w:rsidR="00692E43" w:rsidRPr="00DC2BCB">
        <w:rPr>
          <w:rFonts w:ascii="Arial" w:hAnsi="Arial" w:cs="Arial"/>
          <w:color w:val="000000"/>
          <w:shd w:val="clear" w:color="auto" w:fill="FFFFFF"/>
        </w:rPr>
        <w:t xml:space="preserve"> ingreso al productor</w:t>
      </w:r>
      <w:r w:rsidR="00692E43">
        <w:rPr>
          <w:rFonts w:ascii="Arial" w:hAnsi="Arial" w:cs="Arial"/>
          <w:color w:val="000000"/>
          <w:shd w:val="clear" w:color="auto" w:fill="FFFFFF"/>
        </w:rPr>
        <w:t xml:space="preserve"> gasolina corriente</w:t>
      </w:r>
      <w:r w:rsidR="00692E43" w:rsidRPr="00DC2BCB">
        <w:rPr>
          <w:rFonts w:ascii="Arial" w:hAnsi="Arial" w:cs="Arial"/>
          <w:color w:val="000000"/>
          <w:shd w:val="clear" w:color="auto" w:fill="FFFFFF"/>
        </w:rPr>
        <w:t xml:space="preserve"> </w:t>
      </w:r>
      <w:r w:rsidR="00692E43">
        <w:rPr>
          <w:rFonts w:ascii="Arial" w:hAnsi="Arial" w:cs="Arial"/>
          <w:color w:val="000000"/>
          <w:shd w:val="clear" w:color="auto" w:fill="FFFFFF"/>
        </w:rPr>
        <w:t xml:space="preserve">dado por la ecuación </w:t>
      </w:r>
      <w:r w:rsidR="00692E43">
        <w:rPr>
          <w:rFonts w:ascii="Arial" w:hAnsi="Arial" w:cs="Arial"/>
          <w:shd w:val="clear" w:color="auto" w:fill="FFFFFF"/>
        </w:rPr>
        <w:t xml:space="preserve">presente en la </w:t>
      </w:r>
      <w:r w:rsidR="00692E43" w:rsidRPr="00DC2BCB">
        <w:rPr>
          <w:rFonts w:ascii="Arial" w:hAnsi="Arial" w:cs="Arial"/>
          <w:shd w:val="clear" w:color="auto" w:fill="FFFFFF"/>
        </w:rPr>
        <w:t>resolución 181602 del 2011</w:t>
      </w:r>
      <w:r w:rsidR="00692E43">
        <w:rPr>
          <w:rFonts w:ascii="Arial" w:hAnsi="Arial" w:cs="Arial"/>
          <w:shd w:val="clear" w:color="auto" w:fill="FFFFFF"/>
        </w:rPr>
        <w:t xml:space="preserve"> </w:t>
      </w:r>
      <w:r w:rsidR="00692E43" w:rsidRPr="00DC2BCB">
        <w:rPr>
          <w:rFonts w:ascii="Arial" w:hAnsi="Arial" w:cs="Arial"/>
          <w:color w:val="000000"/>
          <w:shd w:val="clear" w:color="auto" w:fill="FFFFFF"/>
        </w:rPr>
        <w:t>difiere del precio que el Ministerio de Minas y Energía fijaba</w:t>
      </w:r>
      <w:r w:rsidR="00692E43">
        <w:rPr>
          <w:rFonts w:ascii="Arial" w:hAnsi="Arial" w:cs="Arial"/>
          <w:color w:val="000000"/>
          <w:shd w:val="clear" w:color="auto" w:fill="FFFFFF"/>
        </w:rPr>
        <w:t xml:space="preserve"> (grafica 1)</w:t>
      </w:r>
      <w:r w:rsidR="00692E43">
        <w:rPr>
          <w:rStyle w:val="Refdenotaalpie"/>
          <w:rFonts w:ascii="Arial" w:hAnsi="Arial" w:cs="Arial"/>
          <w:color w:val="000000"/>
          <w:shd w:val="clear" w:color="auto" w:fill="FFFFFF"/>
        </w:rPr>
        <w:footnoteReference w:id="8"/>
      </w:r>
      <w:r w:rsidR="00692E43" w:rsidRPr="00DC2BCB">
        <w:rPr>
          <w:rFonts w:ascii="Arial" w:hAnsi="Arial" w:cs="Arial"/>
          <w:color w:val="000000"/>
          <w:shd w:val="clear" w:color="auto" w:fill="FFFFFF"/>
        </w:rPr>
        <w:t>.</w:t>
      </w:r>
      <w:r w:rsidR="00692E43">
        <w:rPr>
          <w:rFonts w:ascii="Arial" w:hAnsi="Arial" w:cs="Arial"/>
          <w:color w:val="000000"/>
          <w:shd w:val="clear" w:color="auto" w:fill="FFFFFF"/>
        </w:rPr>
        <w:t xml:space="preserve"> </w:t>
      </w:r>
    </w:p>
    <w:p w:rsidR="000072EB" w:rsidRDefault="000072EB" w:rsidP="00692E43">
      <w:pPr>
        <w:jc w:val="both"/>
        <w:rPr>
          <w:rFonts w:ascii="Arial" w:hAnsi="Arial" w:cs="Arial"/>
          <w:color w:val="000000"/>
          <w:shd w:val="clear" w:color="auto" w:fill="FFFFFF"/>
        </w:rPr>
      </w:pPr>
    </w:p>
    <w:p w:rsidR="00692E43" w:rsidRDefault="00692E43" w:rsidP="00692E43">
      <w:pPr>
        <w:jc w:val="center"/>
        <w:rPr>
          <w:rFonts w:ascii="Arial" w:hAnsi="Arial" w:cs="Arial"/>
          <w:color w:val="000000"/>
          <w:shd w:val="clear" w:color="auto" w:fill="FFFFFF"/>
        </w:rPr>
      </w:pPr>
    </w:p>
    <w:p w:rsidR="00692E43" w:rsidRPr="00A0567A" w:rsidRDefault="00692E43" w:rsidP="00692E43">
      <w:pPr>
        <w:jc w:val="center"/>
        <w:rPr>
          <w:rFonts w:ascii="Arial" w:hAnsi="Arial" w:cs="Arial"/>
          <w:b/>
          <w:color w:val="000000"/>
          <w:shd w:val="clear" w:color="auto" w:fill="FFFFFF"/>
        </w:rPr>
      </w:pPr>
      <w:r w:rsidRPr="00A0567A">
        <w:rPr>
          <w:rFonts w:ascii="Arial" w:hAnsi="Arial" w:cs="Arial"/>
          <w:b/>
          <w:color w:val="000000"/>
          <w:shd w:val="clear" w:color="auto" w:fill="FFFFFF"/>
        </w:rPr>
        <w:t>Grafico 1    IP Teórico vs IP real</w:t>
      </w:r>
    </w:p>
    <w:p w:rsidR="00692E43" w:rsidRDefault="00692E43" w:rsidP="00692E43">
      <w:pPr>
        <w:jc w:val="center"/>
        <w:rPr>
          <w:rFonts w:ascii="Arial" w:hAnsi="Arial" w:cs="Arial"/>
          <w:color w:val="000000"/>
          <w:shd w:val="clear" w:color="auto" w:fill="FFFFFF"/>
        </w:rPr>
      </w:pPr>
      <w:r>
        <w:rPr>
          <w:rFonts w:ascii="Arial" w:hAnsi="Arial" w:cs="Arial"/>
          <w:noProof/>
          <w:color w:val="000000"/>
          <w:shd w:val="clear" w:color="auto" w:fill="FFFFFF"/>
          <w:lang w:eastAsia="es-CO"/>
        </w:rPr>
        <w:drawing>
          <wp:inline distT="0" distB="0" distL="0" distR="0" wp14:anchorId="7D2092A6" wp14:editId="65A6F3CC">
            <wp:extent cx="3397541" cy="2130804"/>
            <wp:effectExtent l="0" t="0" r="0" b="3175"/>
            <wp:docPr id="4" name="Imagen 1" descr="ingreso al producto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ngreso al productor"/>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00625" cy="2132738"/>
                    </a:xfrm>
                    <a:prstGeom prst="rect">
                      <a:avLst/>
                    </a:prstGeom>
                    <a:noFill/>
                    <a:ln>
                      <a:noFill/>
                    </a:ln>
                  </pic:spPr>
                </pic:pic>
              </a:graphicData>
            </a:graphic>
          </wp:inline>
        </w:drawing>
      </w:r>
    </w:p>
    <w:p w:rsidR="00692E43" w:rsidRPr="004C7241" w:rsidRDefault="00692E43" w:rsidP="00692E43">
      <w:pPr>
        <w:jc w:val="center"/>
        <w:rPr>
          <w:rFonts w:ascii="Arial" w:hAnsi="Arial" w:cs="Arial"/>
          <w:color w:val="000000"/>
          <w:shd w:val="clear" w:color="auto" w:fill="FFFFFF"/>
        </w:rPr>
      </w:pPr>
      <w:r w:rsidRPr="00DB26AA">
        <w:rPr>
          <w:rFonts w:ascii="Arial" w:hAnsi="Arial" w:cs="Arial"/>
          <w:color w:val="000000"/>
          <w:sz w:val="14"/>
          <w:szCs w:val="14"/>
          <w:shd w:val="clear" w:color="auto" w:fill="FFFFFF"/>
        </w:rPr>
        <w:t>Grafica</w:t>
      </w:r>
      <w:r>
        <w:rPr>
          <w:rFonts w:ascii="Arial" w:hAnsi="Arial" w:cs="Arial"/>
          <w:color w:val="000000"/>
          <w:sz w:val="14"/>
          <w:szCs w:val="14"/>
          <w:shd w:val="clear" w:color="auto" w:fill="FFFFFF"/>
        </w:rPr>
        <w:t xml:space="preserve"> autoría Juliana Franco Orjuela</w:t>
      </w:r>
    </w:p>
    <w:p w:rsidR="00692E43" w:rsidRPr="00DB26AA" w:rsidRDefault="00692E43" w:rsidP="00692E43">
      <w:pPr>
        <w:rPr>
          <w:rFonts w:ascii="Arial" w:hAnsi="Arial" w:cs="Arial"/>
          <w:color w:val="000000"/>
          <w:sz w:val="14"/>
          <w:szCs w:val="14"/>
          <w:shd w:val="clear" w:color="auto" w:fill="FFFFFF"/>
        </w:rPr>
      </w:pPr>
      <w:r>
        <w:rPr>
          <w:rFonts w:ascii="Arial" w:hAnsi="Arial" w:cs="Arial"/>
          <w:color w:val="000000"/>
          <w:sz w:val="14"/>
          <w:szCs w:val="14"/>
          <w:shd w:val="clear" w:color="auto" w:fill="FFFFFF"/>
        </w:rPr>
        <w:t xml:space="preserve"> </w:t>
      </w:r>
    </w:p>
    <w:p w:rsidR="009458B6" w:rsidRDefault="009458B6" w:rsidP="00692E43">
      <w:pPr>
        <w:jc w:val="both"/>
        <w:rPr>
          <w:rFonts w:ascii="Arial" w:hAnsi="Arial" w:cs="Arial"/>
          <w:color w:val="000000"/>
          <w:shd w:val="clear" w:color="auto" w:fill="FFFFFF"/>
        </w:rPr>
      </w:pPr>
    </w:p>
    <w:p w:rsidR="009458B6" w:rsidRDefault="009458B6" w:rsidP="00692E43">
      <w:pPr>
        <w:jc w:val="both"/>
        <w:rPr>
          <w:rFonts w:ascii="Arial" w:hAnsi="Arial" w:cs="Arial"/>
          <w:color w:val="000000"/>
          <w:shd w:val="clear" w:color="auto" w:fill="FFFFFF"/>
        </w:rPr>
      </w:pPr>
    </w:p>
    <w:p w:rsidR="00692E43" w:rsidRDefault="00692E43" w:rsidP="00692E43">
      <w:pPr>
        <w:jc w:val="both"/>
        <w:rPr>
          <w:rFonts w:ascii="Arial" w:hAnsi="Arial" w:cs="Arial"/>
          <w:color w:val="000000"/>
          <w:shd w:val="clear" w:color="auto" w:fill="FFFFFF"/>
        </w:rPr>
      </w:pPr>
      <w:r w:rsidRPr="00DC2BCB">
        <w:rPr>
          <w:rFonts w:ascii="Arial" w:hAnsi="Arial" w:cs="Arial"/>
          <w:color w:val="000000"/>
          <w:shd w:val="clear" w:color="auto" w:fill="FFFFFF"/>
        </w:rPr>
        <w:t xml:space="preserve">El Ministerio de Minas y Energía además de haber fijado una base gravable sin parámetros claro y en favor aumentos en los precios de los combustibles </w:t>
      </w:r>
      <w:r w:rsidRPr="00DC2BCB">
        <w:rPr>
          <w:rFonts w:ascii="Arial" w:hAnsi="Arial" w:cs="Arial"/>
          <w:color w:val="000000"/>
          <w:shd w:val="clear" w:color="auto" w:fill="FFFFFF"/>
        </w:rPr>
        <w:lastRenderedPageBreak/>
        <w:t>favoreciendo las finanzas municipales y gubernamentales, provocando que los municipios y departamentos tuvieran incentivos a fomentar el uso del transporte automotor</w:t>
      </w:r>
      <w:r>
        <w:rPr>
          <w:rFonts w:ascii="Arial" w:hAnsi="Arial" w:cs="Arial"/>
          <w:color w:val="000000"/>
          <w:shd w:val="clear" w:color="auto" w:fill="FFFFFF"/>
        </w:rPr>
        <w:t>.</w:t>
      </w:r>
    </w:p>
    <w:p w:rsidR="00692E43" w:rsidRDefault="00692E43" w:rsidP="00692E43">
      <w:pPr>
        <w:jc w:val="both"/>
        <w:rPr>
          <w:rFonts w:ascii="Arial" w:hAnsi="Arial" w:cs="Arial"/>
          <w:color w:val="000000"/>
          <w:shd w:val="clear" w:color="auto" w:fill="FFFFFF"/>
        </w:rPr>
      </w:pPr>
    </w:p>
    <w:p w:rsidR="00692E43" w:rsidRDefault="00692E43" w:rsidP="00692E43">
      <w:pPr>
        <w:jc w:val="both"/>
        <w:rPr>
          <w:rFonts w:ascii="Arial" w:hAnsi="Arial" w:cs="Arial"/>
        </w:rPr>
      </w:pPr>
      <w:r w:rsidRPr="0032574C">
        <w:rPr>
          <w:rFonts w:ascii="Arial" w:hAnsi="Arial" w:cs="Arial"/>
          <w:color w:val="000000"/>
          <w:shd w:val="clear" w:color="auto" w:fill="FFFFFF"/>
        </w:rPr>
        <w:t xml:space="preserve">Los estudiantes </w:t>
      </w:r>
      <w:r w:rsidRPr="00544931">
        <w:rPr>
          <w:rStyle w:val="nfasis"/>
          <w:rFonts w:ascii="Arial" w:hAnsi="Arial" w:cs="Arial"/>
          <w:i w:val="0"/>
          <w:color w:val="000000"/>
        </w:rPr>
        <w:t xml:space="preserve">Víctor David Bernal Pavas y David Jiménez Mejía </w:t>
      </w:r>
      <w:r>
        <w:rPr>
          <w:rStyle w:val="nfasis"/>
          <w:rFonts w:ascii="Arial" w:hAnsi="Arial" w:cs="Arial"/>
          <w:i w:val="0"/>
          <w:color w:val="000000"/>
        </w:rPr>
        <w:t xml:space="preserve">en su tesis de grado </w:t>
      </w:r>
      <w:r w:rsidRPr="0032574C">
        <w:rPr>
          <w:rFonts w:ascii="Arial" w:hAnsi="Arial" w:cs="Arial"/>
          <w:color w:val="000000"/>
          <w:shd w:val="clear" w:color="auto" w:fill="FFFFFF"/>
        </w:rPr>
        <w:t>afirman que “</w:t>
      </w:r>
      <w:r w:rsidRPr="0032574C">
        <w:rPr>
          <w:rFonts w:ascii="Arial" w:hAnsi="Arial" w:cs="Arial"/>
        </w:rPr>
        <w:t>el diferencial fue declarado en dos ocasiones inconstitucional. Esto implicó, de un lado, que el FEPC no hubiese funcionado correctamente en algunas épocas entre 2009-2016, dado que no se permitió el ahorro generado por el mayor valor causado entre el precio interno y el de referencia internacional y, por otro lado, que algunas entidades privadas (importadores de combustibles, específicamente ACPM) se beneficiaran del mayor valor implícito generado (diferencial de participación) que no fue cobrado a finales de 2015 y el 2016, a pesar de haberse generado como un mayor valor del precio final, el cual fue cobrado directamente a los consumidores finales y que llegó a ser incluso mayor a los $2,000 pesos por galón, en el caso de la gasolina corriente y de más de $1,400 pesos, en el caso del ACPM, a finales de diciembre del 2014.”</w:t>
      </w:r>
      <w:r>
        <w:rPr>
          <w:rStyle w:val="Refdenotaalpie"/>
          <w:rFonts w:ascii="Arial" w:hAnsi="Arial" w:cs="Arial"/>
        </w:rPr>
        <w:footnoteReference w:id="9"/>
      </w:r>
    </w:p>
    <w:p w:rsidR="00692E43" w:rsidRPr="0032574C" w:rsidRDefault="00692E43" w:rsidP="00692E43">
      <w:pPr>
        <w:jc w:val="both"/>
        <w:rPr>
          <w:rFonts w:ascii="Arial" w:hAnsi="Arial" w:cs="Arial"/>
          <w:color w:val="000000"/>
          <w:shd w:val="clear" w:color="auto" w:fill="FFFFFF"/>
        </w:rPr>
      </w:pPr>
    </w:p>
    <w:p w:rsidR="009458B6" w:rsidRDefault="00692E43" w:rsidP="006A6F4C">
      <w:pPr>
        <w:jc w:val="both"/>
        <w:rPr>
          <w:rFonts w:ascii="Arial" w:hAnsi="Arial" w:cs="Arial"/>
          <w:color w:val="000000"/>
          <w:shd w:val="clear" w:color="auto" w:fill="FFFFFF"/>
        </w:rPr>
      </w:pPr>
      <w:r w:rsidRPr="00692E43">
        <w:rPr>
          <w:rStyle w:val="Textoennegrita"/>
          <w:rFonts w:ascii="Arial" w:hAnsi="Arial" w:cs="Arial"/>
          <w:b w:val="0"/>
          <w:bCs w:val="0"/>
          <w:iCs/>
          <w:color w:val="000000"/>
        </w:rPr>
        <w:t xml:space="preserve">Por lo cual la conclusión del trabajo de grado del economista Pavas es que el Ministerio de Minas y Energía además de fijar una base gravable a la sobre tasa amañada también ha fijado discrecionalmente el ingreso al productor sin seguir un criterio claro y guiado por </w:t>
      </w:r>
      <w:r w:rsidRPr="00692E43">
        <w:rPr>
          <w:rStyle w:val="Textoennegrita"/>
          <w:rFonts w:ascii="Arial" w:hAnsi="Arial" w:cs="Arial"/>
          <w:b w:val="0"/>
          <w:bCs w:val="0"/>
          <w:iCs/>
        </w:rPr>
        <w:t xml:space="preserve">temas políticos y fiscales, </w:t>
      </w:r>
      <w:r w:rsidRPr="007971BF">
        <w:rPr>
          <w:rFonts w:ascii="Arial" w:hAnsi="Arial" w:cs="Arial"/>
          <w:shd w:val="clear" w:color="auto" w:fill="FFFFFF"/>
        </w:rPr>
        <w:t>un precio fijado por el gobierno cada mes según la resolución 181602 del 2011 y la resolución 181491 del 30 de agosto de 2012 las cuales no se respetaron rompiendo las bandas fijadas (grafica 2 y 3)</w:t>
      </w:r>
      <w:r w:rsidRPr="003D3296">
        <w:rPr>
          <w:rStyle w:val="Refdenotaalpie"/>
          <w:rFonts w:ascii="Arial" w:hAnsi="Arial" w:cs="Arial"/>
        </w:rPr>
        <w:t xml:space="preserve"> </w:t>
      </w:r>
      <w:r>
        <w:rPr>
          <w:rStyle w:val="Refdenotaalpie"/>
          <w:rFonts w:ascii="Arial" w:hAnsi="Arial" w:cs="Arial"/>
        </w:rPr>
        <w:footnoteReference w:id="10"/>
      </w:r>
      <w:r w:rsidRPr="00C76310">
        <w:rPr>
          <w:rStyle w:val="Refdenotaalpie"/>
          <w:rFonts w:ascii="Arial" w:hAnsi="Arial" w:cs="Arial"/>
        </w:rPr>
        <w:t xml:space="preserve"> </w:t>
      </w:r>
      <w:r w:rsidRPr="007971BF">
        <w:rPr>
          <w:rFonts w:ascii="Arial" w:hAnsi="Arial" w:cs="Arial"/>
        </w:rPr>
        <w:t>aumentando la incertidumbre y especulación en la fijación del mismo</w:t>
      </w:r>
      <w:r>
        <w:rPr>
          <w:rFonts w:ascii="Arial" w:hAnsi="Arial" w:cs="Arial"/>
          <w:shd w:val="clear" w:color="auto" w:fill="FFFFFF"/>
        </w:rPr>
        <w:t>. C</w:t>
      </w:r>
      <w:r w:rsidRPr="007971BF">
        <w:rPr>
          <w:rFonts w:ascii="Arial" w:hAnsi="Arial" w:cs="Arial"/>
          <w:shd w:val="clear" w:color="auto" w:fill="FFFFFF"/>
        </w:rPr>
        <w:t>onfirmada por Juliana Franco Orjuela con un histograma de los cambios porcentuales del IP fijado por el Ministerio de Minas que muestra la dinámica desde un periodo más actualizado (grafica 4)</w:t>
      </w:r>
      <w:r w:rsidRPr="00C76310">
        <w:rPr>
          <w:rStyle w:val="Refdenotaalpie"/>
          <w:rFonts w:ascii="Arial" w:hAnsi="Arial" w:cs="Arial"/>
          <w:color w:val="000000"/>
          <w:shd w:val="clear" w:color="auto" w:fill="FFFFFF"/>
        </w:rPr>
        <w:t xml:space="preserve"> </w:t>
      </w:r>
      <w:r>
        <w:rPr>
          <w:rStyle w:val="Refdenotaalpie"/>
          <w:rFonts w:ascii="Arial" w:hAnsi="Arial" w:cs="Arial"/>
          <w:color w:val="000000"/>
          <w:shd w:val="clear" w:color="auto" w:fill="FFFFFF"/>
        </w:rPr>
        <w:footnoteReference w:id="11"/>
      </w:r>
      <w:r w:rsidRPr="00DC2BCB">
        <w:rPr>
          <w:rFonts w:ascii="Arial" w:hAnsi="Arial" w:cs="Arial"/>
          <w:color w:val="000000"/>
          <w:shd w:val="clear" w:color="auto" w:fill="FFFFFF"/>
        </w:rPr>
        <w:t>.</w:t>
      </w:r>
    </w:p>
    <w:p w:rsidR="006A6F4C" w:rsidRDefault="006A6F4C" w:rsidP="006A6F4C">
      <w:pPr>
        <w:jc w:val="both"/>
        <w:rPr>
          <w:rFonts w:ascii="Arial" w:hAnsi="Arial" w:cs="Arial"/>
          <w:b/>
        </w:rPr>
      </w:pPr>
    </w:p>
    <w:p w:rsidR="009458B6" w:rsidRDefault="009458B6" w:rsidP="00692E43">
      <w:pPr>
        <w:jc w:val="center"/>
        <w:rPr>
          <w:rFonts w:ascii="Arial" w:hAnsi="Arial" w:cs="Arial"/>
          <w:b/>
        </w:rPr>
      </w:pPr>
    </w:p>
    <w:p w:rsidR="00692E43" w:rsidRPr="00FF1305" w:rsidRDefault="00692E43" w:rsidP="00692E43">
      <w:pPr>
        <w:jc w:val="center"/>
        <w:rPr>
          <w:rFonts w:ascii="Arial" w:hAnsi="Arial" w:cs="Arial"/>
          <w:b/>
          <w:shd w:val="clear" w:color="auto" w:fill="FFFFFF"/>
        </w:rPr>
      </w:pPr>
      <w:r w:rsidRPr="00FF1305">
        <w:rPr>
          <w:rFonts w:ascii="Arial" w:hAnsi="Arial" w:cs="Arial"/>
          <w:b/>
        </w:rPr>
        <w:t>Gráfica 2 Variación mensual (%) del IP GMC</w:t>
      </w:r>
    </w:p>
    <w:p w:rsidR="00692E43" w:rsidRDefault="00692E43" w:rsidP="00692E43">
      <w:pPr>
        <w:jc w:val="center"/>
        <w:rPr>
          <w:rFonts w:asciiTheme="majorHAnsi" w:hAnsiTheme="majorHAnsi" w:cstheme="majorHAnsi"/>
        </w:rPr>
      </w:pPr>
      <w:r w:rsidRPr="004C7405">
        <w:rPr>
          <w:rFonts w:asciiTheme="majorHAnsi" w:hAnsiTheme="majorHAnsi" w:cstheme="majorHAnsi"/>
          <w:noProof/>
          <w:lang w:eastAsia="es-CO"/>
        </w:rPr>
        <w:lastRenderedPageBreak/>
        <w:drawing>
          <wp:inline distT="0" distB="0" distL="0" distR="0" wp14:anchorId="50E3BEF0" wp14:editId="4C20D142">
            <wp:extent cx="3143250" cy="2293620"/>
            <wp:effectExtent l="0" t="0" r="0" b="1143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92E43" w:rsidRPr="009F5E4B" w:rsidRDefault="00692E43" w:rsidP="00692E43">
      <w:pPr>
        <w:jc w:val="right"/>
        <w:rPr>
          <w:rFonts w:ascii="Arial" w:hAnsi="Arial" w:cs="Arial"/>
          <w:sz w:val="14"/>
          <w:szCs w:val="14"/>
        </w:rPr>
      </w:pPr>
      <w:r w:rsidRPr="009F5E4B">
        <w:rPr>
          <w:rFonts w:ascii="Arial" w:hAnsi="Arial" w:cs="Arial"/>
          <w:sz w:val="14"/>
          <w:szCs w:val="14"/>
        </w:rPr>
        <w:t xml:space="preserve">Autoria: </w:t>
      </w:r>
      <w:r w:rsidRPr="009F5E4B">
        <w:rPr>
          <w:rStyle w:val="nfasis"/>
          <w:rFonts w:ascii="Arial" w:hAnsi="Arial" w:cs="Arial"/>
          <w:i w:val="0"/>
          <w:color w:val="000000"/>
          <w:sz w:val="14"/>
          <w:szCs w:val="14"/>
        </w:rPr>
        <w:t>Víctor David Bernal Pavas y David Jiménez Mejía</w:t>
      </w:r>
    </w:p>
    <w:p w:rsidR="00692E43" w:rsidRPr="004C7405" w:rsidRDefault="00692E43" w:rsidP="00692E43">
      <w:pPr>
        <w:jc w:val="both"/>
        <w:rPr>
          <w:rFonts w:asciiTheme="majorHAnsi" w:hAnsiTheme="majorHAnsi" w:cstheme="majorHAnsi"/>
        </w:rPr>
      </w:pPr>
    </w:p>
    <w:p w:rsidR="00692E43" w:rsidRPr="00A0567A" w:rsidRDefault="00692E43" w:rsidP="00692E43">
      <w:pPr>
        <w:pStyle w:val="Epgrafe"/>
        <w:keepNext/>
        <w:spacing w:after="0"/>
        <w:jc w:val="center"/>
        <w:rPr>
          <w:rFonts w:ascii="Arial" w:hAnsi="Arial" w:cs="Arial"/>
          <w:color w:val="auto"/>
          <w:sz w:val="22"/>
          <w:szCs w:val="24"/>
        </w:rPr>
      </w:pPr>
      <w:r w:rsidRPr="00A0567A">
        <w:rPr>
          <w:rFonts w:ascii="Arial" w:hAnsi="Arial" w:cs="Arial"/>
          <w:color w:val="auto"/>
          <w:sz w:val="22"/>
          <w:szCs w:val="24"/>
        </w:rPr>
        <w:t xml:space="preserve">Gráfica 3 Variación mensual (%) del IP ACPM </w:t>
      </w:r>
    </w:p>
    <w:p w:rsidR="00692E43" w:rsidRPr="004C7405" w:rsidRDefault="00692E43" w:rsidP="00692E43">
      <w:pPr>
        <w:jc w:val="both"/>
        <w:rPr>
          <w:rFonts w:asciiTheme="majorHAnsi" w:hAnsiTheme="majorHAnsi" w:cstheme="majorHAnsi"/>
        </w:rPr>
      </w:pPr>
    </w:p>
    <w:p w:rsidR="00692E43" w:rsidRDefault="00692E43" w:rsidP="00692E43">
      <w:pPr>
        <w:jc w:val="center"/>
        <w:rPr>
          <w:rFonts w:asciiTheme="majorHAnsi" w:hAnsiTheme="majorHAnsi" w:cstheme="majorHAnsi"/>
        </w:rPr>
      </w:pPr>
      <w:r w:rsidRPr="004C7405">
        <w:rPr>
          <w:rFonts w:asciiTheme="majorHAnsi" w:hAnsiTheme="majorHAnsi" w:cstheme="majorHAnsi"/>
          <w:noProof/>
          <w:shd w:val="clear" w:color="auto" w:fill="BFBFBF" w:themeFill="background1" w:themeFillShade="BF"/>
          <w:lang w:eastAsia="es-CO"/>
        </w:rPr>
        <w:drawing>
          <wp:inline distT="0" distB="0" distL="0" distR="0" wp14:anchorId="2208A32D" wp14:editId="4068B2CA">
            <wp:extent cx="3825380" cy="3093265"/>
            <wp:effectExtent l="0" t="0" r="10160" b="18415"/>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92E43" w:rsidRDefault="00692E43" w:rsidP="00263DED">
      <w:pPr>
        <w:jc w:val="center"/>
        <w:rPr>
          <w:rStyle w:val="nfasis"/>
          <w:rFonts w:ascii="Arial" w:hAnsi="Arial" w:cs="Arial"/>
          <w:i w:val="0"/>
          <w:color w:val="000000"/>
          <w:sz w:val="14"/>
          <w:szCs w:val="14"/>
        </w:rPr>
      </w:pPr>
      <w:r w:rsidRPr="009F5E4B">
        <w:rPr>
          <w:rFonts w:ascii="Arial" w:hAnsi="Arial" w:cs="Arial"/>
          <w:sz w:val="14"/>
          <w:szCs w:val="14"/>
        </w:rPr>
        <w:t xml:space="preserve">Autoría: </w:t>
      </w:r>
      <w:r w:rsidRPr="009F5E4B">
        <w:rPr>
          <w:rStyle w:val="nfasis"/>
          <w:rFonts w:ascii="Arial" w:hAnsi="Arial" w:cs="Arial"/>
          <w:i w:val="0"/>
          <w:color w:val="000000"/>
          <w:sz w:val="14"/>
          <w:szCs w:val="14"/>
        </w:rPr>
        <w:t>Víctor David Bernal Pavas y David Jiménez Mejía</w:t>
      </w:r>
    </w:p>
    <w:p w:rsidR="00263DED" w:rsidRDefault="00263DED" w:rsidP="00692E43">
      <w:pPr>
        <w:jc w:val="center"/>
        <w:rPr>
          <w:rStyle w:val="nfasis"/>
          <w:rFonts w:ascii="Arial" w:hAnsi="Arial" w:cs="Arial"/>
          <w:b/>
          <w:i w:val="0"/>
          <w:color w:val="000000"/>
        </w:rPr>
      </w:pPr>
    </w:p>
    <w:p w:rsidR="00692E43" w:rsidRPr="00B1589D" w:rsidRDefault="00692E43" w:rsidP="00E724EE">
      <w:pPr>
        <w:jc w:val="center"/>
        <w:rPr>
          <w:rStyle w:val="nfasis"/>
          <w:rFonts w:ascii="Arial" w:hAnsi="Arial" w:cs="Arial"/>
          <w:i w:val="0"/>
          <w:color w:val="000000"/>
          <w:sz w:val="14"/>
          <w:szCs w:val="14"/>
        </w:rPr>
      </w:pPr>
      <w:r w:rsidRPr="00AF3B15">
        <w:rPr>
          <w:rStyle w:val="nfasis"/>
          <w:rFonts w:ascii="Arial" w:hAnsi="Arial" w:cs="Arial"/>
          <w:b/>
          <w:i w:val="0"/>
          <w:color w:val="000000"/>
        </w:rPr>
        <w:t>Grafico 4</w:t>
      </w:r>
    </w:p>
    <w:p w:rsidR="00692E43" w:rsidRDefault="00692E43" w:rsidP="00692E43">
      <w:pPr>
        <w:jc w:val="center"/>
        <w:rPr>
          <w:rStyle w:val="nfasis"/>
          <w:rFonts w:ascii="Arial" w:hAnsi="Arial" w:cs="Arial"/>
          <w:i w:val="0"/>
          <w:color w:val="000000"/>
          <w:sz w:val="14"/>
          <w:szCs w:val="14"/>
        </w:rPr>
      </w:pPr>
      <w:r>
        <w:rPr>
          <w:rStyle w:val="nfasis"/>
          <w:rFonts w:ascii="Arial" w:hAnsi="Arial" w:cs="Arial"/>
          <w:i w:val="0"/>
          <w:color w:val="000000"/>
          <w:sz w:val="14"/>
          <w:szCs w:val="14"/>
        </w:rPr>
        <w:t>Histograma</w:t>
      </w:r>
    </w:p>
    <w:p w:rsidR="00692E43" w:rsidRDefault="00692E43" w:rsidP="00692E43">
      <w:pPr>
        <w:jc w:val="center"/>
        <w:rPr>
          <w:rStyle w:val="nfasis"/>
          <w:rFonts w:ascii="Arial" w:hAnsi="Arial" w:cs="Arial"/>
          <w:i w:val="0"/>
          <w:color w:val="000000"/>
          <w:sz w:val="14"/>
          <w:szCs w:val="14"/>
        </w:rPr>
      </w:pPr>
      <w:r>
        <w:rPr>
          <w:rStyle w:val="nfasis"/>
          <w:rFonts w:ascii="Arial" w:hAnsi="Arial" w:cs="Arial"/>
          <w:i w:val="0"/>
          <w:color w:val="000000"/>
          <w:sz w:val="14"/>
          <w:szCs w:val="14"/>
        </w:rPr>
        <w:t xml:space="preserve">Densidad de la Variación porcentual precio de referencia 2014-2019 </w:t>
      </w:r>
    </w:p>
    <w:p w:rsidR="00E724EE" w:rsidRDefault="00E724EE" w:rsidP="00692E43">
      <w:pPr>
        <w:jc w:val="center"/>
        <w:rPr>
          <w:rStyle w:val="nfasis"/>
          <w:rFonts w:ascii="Arial" w:hAnsi="Arial" w:cs="Arial"/>
          <w:i w:val="0"/>
          <w:color w:val="000000"/>
          <w:sz w:val="14"/>
          <w:szCs w:val="14"/>
        </w:rPr>
      </w:pPr>
    </w:p>
    <w:p w:rsidR="00E724EE" w:rsidRDefault="00E724EE" w:rsidP="00692E43">
      <w:pPr>
        <w:jc w:val="center"/>
        <w:rPr>
          <w:rStyle w:val="nfasis"/>
          <w:rFonts w:ascii="Arial" w:hAnsi="Arial" w:cs="Arial"/>
          <w:i w:val="0"/>
          <w:color w:val="000000"/>
          <w:sz w:val="14"/>
          <w:szCs w:val="14"/>
        </w:rPr>
      </w:pPr>
    </w:p>
    <w:p w:rsidR="00E724EE" w:rsidRDefault="00E724EE" w:rsidP="00692E43">
      <w:pPr>
        <w:jc w:val="center"/>
        <w:rPr>
          <w:rStyle w:val="nfasis"/>
          <w:rFonts w:ascii="Arial" w:hAnsi="Arial" w:cs="Arial"/>
          <w:i w:val="0"/>
          <w:color w:val="000000"/>
          <w:sz w:val="14"/>
          <w:szCs w:val="14"/>
        </w:rPr>
      </w:pPr>
    </w:p>
    <w:p w:rsidR="00E724EE" w:rsidRDefault="00E724EE" w:rsidP="00692E43">
      <w:pPr>
        <w:jc w:val="center"/>
        <w:rPr>
          <w:rStyle w:val="nfasis"/>
          <w:rFonts w:ascii="Arial" w:hAnsi="Arial" w:cs="Arial"/>
          <w:i w:val="0"/>
          <w:color w:val="000000"/>
          <w:sz w:val="14"/>
          <w:szCs w:val="14"/>
        </w:rPr>
      </w:pPr>
    </w:p>
    <w:p w:rsidR="00E724EE" w:rsidRDefault="00E724EE" w:rsidP="00692E43">
      <w:pPr>
        <w:jc w:val="center"/>
        <w:rPr>
          <w:rStyle w:val="nfasis"/>
          <w:rFonts w:ascii="Arial" w:hAnsi="Arial" w:cs="Arial"/>
          <w:i w:val="0"/>
          <w:color w:val="000000"/>
          <w:sz w:val="14"/>
          <w:szCs w:val="14"/>
        </w:rPr>
      </w:pPr>
    </w:p>
    <w:p w:rsidR="00692E43" w:rsidRDefault="00692E43" w:rsidP="00692E43">
      <w:pPr>
        <w:jc w:val="center"/>
        <w:rPr>
          <w:rStyle w:val="nfasis"/>
          <w:rFonts w:ascii="Arial" w:hAnsi="Arial" w:cs="Arial"/>
          <w:i w:val="0"/>
          <w:color w:val="000000"/>
          <w:sz w:val="14"/>
          <w:szCs w:val="14"/>
        </w:rPr>
      </w:pPr>
      <w:r>
        <w:rPr>
          <w:noProof/>
          <w:lang w:eastAsia="es-CO"/>
        </w:rPr>
        <w:drawing>
          <wp:inline distT="0" distB="0" distL="0" distR="0" wp14:anchorId="0B9FC721" wp14:editId="0BA6E501">
            <wp:extent cx="3924300" cy="2705100"/>
            <wp:effectExtent l="0" t="0" r="0" b="0"/>
            <wp:docPr id="3" name="Imagen 2" descr="histogram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histograma"/>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28166" cy="2707765"/>
                    </a:xfrm>
                    <a:prstGeom prst="rect">
                      <a:avLst/>
                    </a:prstGeom>
                    <a:noFill/>
                    <a:ln>
                      <a:noFill/>
                    </a:ln>
                  </pic:spPr>
                </pic:pic>
              </a:graphicData>
            </a:graphic>
          </wp:inline>
        </w:drawing>
      </w:r>
    </w:p>
    <w:p w:rsidR="00692E43" w:rsidRDefault="00692E43" w:rsidP="00692E43">
      <w:pPr>
        <w:jc w:val="center"/>
        <w:rPr>
          <w:rStyle w:val="nfasis"/>
          <w:rFonts w:ascii="Arial" w:hAnsi="Arial" w:cs="Arial"/>
          <w:i w:val="0"/>
          <w:color w:val="000000"/>
          <w:sz w:val="14"/>
          <w:szCs w:val="14"/>
        </w:rPr>
      </w:pPr>
      <w:r>
        <w:rPr>
          <w:rStyle w:val="nfasis"/>
          <w:rFonts w:ascii="Arial" w:hAnsi="Arial" w:cs="Arial"/>
          <w:i w:val="0"/>
          <w:color w:val="000000"/>
          <w:sz w:val="14"/>
          <w:szCs w:val="14"/>
        </w:rPr>
        <w:t>Autoría: Juliana Franco Orjuela</w:t>
      </w:r>
    </w:p>
    <w:p w:rsidR="00692E43" w:rsidRDefault="00692E43" w:rsidP="00692E43">
      <w:pPr>
        <w:jc w:val="both"/>
        <w:rPr>
          <w:rFonts w:ascii="Arial" w:hAnsi="Arial" w:cs="Arial"/>
          <w:shd w:val="clear" w:color="auto" w:fill="FFFFFF"/>
        </w:rPr>
      </w:pPr>
    </w:p>
    <w:p w:rsidR="00E724EE" w:rsidRDefault="00E724EE" w:rsidP="00263DED">
      <w:pPr>
        <w:jc w:val="both"/>
        <w:rPr>
          <w:rFonts w:ascii="Arial" w:hAnsi="Arial" w:cs="Arial"/>
          <w:shd w:val="clear" w:color="auto" w:fill="FFFFFF"/>
        </w:rPr>
      </w:pPr>
    </w:p>
    <w:p w:rsidR="00E724EE" w:rsidRDefault="00E724EE" w:rsidP="00263DED">
      <w:pPr>
        <w:jc w:val="both"/>
        <w:rPr>
          <w:rFonts w:ascii="Arial" w:hAnsi="Arial" w:cs="Arial"/>
          <w:shd w:val="clear" w:color="auto" w:fill="FFFFFF"/>
        </w:rPr>
      </w:pPr>
    </w:p>
    <w:p w:rsidR="00263DED" w:rsidRDefault="00692E43" w:rsidP="00263DED">
      <w:pPr>
        <w:jc w:val="both"/>
        <w:rPr>
          <w:rFonts w:ascii="Arial" w:hAnsi="Arial" w:cs="Arial"/>
          <w:b/>
        </w:rPr>
      </w:pPr>
      <w:r>
        <w:rPr>
          <w:rFonts w:ascii="Arial" w:hAnsi="Arial" w:cs="Arial"/>
          <w:shd w:val="clear" w:color="auto" w:fill="FFFFFF"/>
        </w:rPr>
        <w:t>Además de esto no siguiendo la ecuación estipulada por resolución (grafica 4 y 5)</w:t>
      </w:r>
      <w:r w:rsidRPr="00B1589D">
        <w:rPr>
          <w:rStyle w:val="Refdenotaalpie"/>
          <w:rFonts w:ascii="Arial" w:hAnsi="Arial" w:cs="Arial"/>
        </w:rPr>
        <w:t xml:space="preserve"> </w:t>
      </w:r>
      <w:r>
        <w:rPr>
          <w:rStyle w:val="Refdenotaalpie"/>
          <w:rFonts w:ascii="Arial" w:hAnsi="Arial" w:cs="Arial"/>
        </w:rPr>
        <w:footnoteReference w:id="12"/>
      </w:r>
      <w:r>
        <w:rPr>
          <w:rFonts w:ascii="Arial" w:hAnsi="Arial" w:cs="Arial"/>
          <w:shd w:val="clear" w:color="auto" w:fill="FFFFFF"/>
        </w:rPr>
        <w:t>,</w:t>
      </w:r>
      <w:r w:rsidRPr="00DC2BCB">
        <w:rPr>
          <w:rFonts w:ascii="Arial" w:hAnsi="Arial" w:cs="Arial"/>
          <w:shd w:val="clear" w:color="auto" w:fill="FFFFFF"/>
        </w:rPr>
        <w:t xml:space="preserve"> que causo a su vez que el fondo de estabilización precios del combustible </w:t>
      </w:r>
      <w:r w:rsidRPr="00DC2BCB">
        <w:rPr>
          <w:rStyle w:val="nfasis"/>
          <w:rFonts w:ascii="Arial" w:hAnsi="Arial" w:cs="Arial"/>
          <w:i w:val="0"/>
          <w:color w:val="000000"/>
        </w:rPr>
        <w:t>hubiese tenido un déficit acumulado de 5.14 billones de pesos desde el año 2009 hasta el año 2014 según el observatorio fiscal de la Contraloría General de la Nación y que para mayo del 2019 se hubiera ubicado cercano a los 15 billones de pesos colombianos según cifras entregadas por Ministerio de Minas.</w:t>
      </w:r>
      <w:r w:rsidRPr="00DC2BCB">
        <w:rPr>
          <w:rStyle w:val="Textoennegrita"/>
          <w:rFonts w:ascii="Arial" w:hAnsi="Arial" w:cs="Arial"/>
          <w:color w:val="000000"/>
        </w:rPr>
        <w:t>   </w:t>
      </w:r>
    </w:p>
    <w:p w:rsidR="00263DED" w:rsidRDefault="00263DED" w:rsidP="00692E43">
      <w:pPr>
        <w:jc w:val="center"/>
        <w:rPr>
          <w:rFonts w:ascii="Arial" w:hAnsi="Arial" w:cs="Arial"/>
          <w:b/>
        </w:rPr>
      </w:pPr>
    </w:p>
    <w:p w:rsidR="00E724EE" w:rsidRDefault="00E724EE" w:rsidP="00692E43">
      <w:pPr>
        <w:jc w:val="center"/>
        <w:rPr>
          <w:rFonts w:ascii="Arial" w:hAnsi="Arial" w:cs="Arial"/>
          <w:b/>
        </w:rPr>
      </w:pPr>
    </w:p>
    <w:p w:rsidR="00E724EE" w:rsidRDefault="00E724EE" w:rsidP="00692E43">
      <w:pPr>
        <w:jc w:val="center"/>
        <w:rPr>
          <w:rFonts w:ascii="Arial" w:hAnsi="Arial" w:cs="Arial"/>
          <w:b/>
        </w:rPr>
      </w:pPr>
    </w:p>
    <w:p w:rsidR="00E724EE" w:rsidRDefault="00E724EE" w:rsidP="00692E43">
      <w:pPr>
        <w:jc w:val="center"/>
        <w:rPr>
          <w:rFonts w:ascii="Arial" w:hAnsi="Arial" w:cs="Arial"/>
          <w:b/>
        </w:rPr>
      </w:pPr>
    </w:p>
    <w:p w:rsidR="00E724EE" w:rsidRDefault="00E724EE" w:rsidP="00692E43">
      <w:pPr>
        <w:jc w:val="center"/>
        <w:rPr>
          <w:rFonts w:ascii="Arial" w:hAnsi="Arial" w:cs="Arial"/>
          <w:b/>
        </w:rPr>
      </w:pPr>
    </w:p>
    <w:p w:rsidR="00E724EE" w:rsidRDefault="00E724EE" w:rsidP="00692E43">
      <w:pPr>
        <w:jc w:val="center"/>
        <w:rPr>
          <w:rFonts w:ascii="Arial" w:hAnsi="Arial" w:cs="Arial"/>
          <w:b/>
        </w:rPr>
      </w:pPr>
    </w:p>
    <w:p w:rsidR="00692E43" w:rsidRPr="00E724EE" w:rsidRDefault="00692E43" w:rsidP="00692E43">
      <w:pPr>
        <w:jc w:val="center"/>
        <w:rPr>
          <w:rFonts w:ascii="Arial" w:hAnsi="Arial" w:cs="Arial"/>
          <w:shd w:val="clear" w:color="auto" w:fill="FFFFFF"/>
        </w:rPr>
      </w:pPr>
      <w:r w:rsidRPr="00E724EE">
        <w:rPr>
          <w:rFonts w:ascii="Arial" w:hAnsi="Arial" w:cs="Arial"/>
        </w:rPr>
        <w:t>Gráfica 4 IP GMC oficial vs IP GMC calculado</w:t>
      </w:r>
    </w:p>
    <w:p w:rsidR="00692E43" w:rsidRDefault="00692E43" w:rsidP="00692E43">
      <w:pPr>
        <w:jc w:val="center"/>
        <w:rPr>
          <w:rFonts w:asciiTheme="majorHAnsi" w:hAnsiTheme="majorHAnsi" w:cstheme="majorHAnsi"/>
        </w:rPr>
      </w:pPr>
      <w:r>
        <w:rPr>
          <w:noProof/>
          <w:lang w:eastAsia="es-CO"/>
        </w:rPr>
        <w:lastRenderedPageBreak/>
        <w:drawing>
          <wp:inline distT="0" distB="0" distL="0" distR="0" wp14:anchorId="1CAC0AB1" wp14:editId="0F22EC0A">
            <wp:extent cx="3145587" cy="2223083"/>
            <wp:effectExtent l="0" t="0" r="17145" b="1270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63DED" w:rsidRDefault="00692E43" w:rsidP="00263DED">
      <w:pPr>
        <w:jc w:val="center"/>
        <w:rPr>
          <w:rStyle w:val="nfasis"/>
          <w:rFonts w:ascii="Arial" w:hAnsi="Arial" w:cs="Arial"/>
          <w:i w:val="0"/>
          <w:color w:val="000000"/>
          <w:sz w:val="14"/>
          <w:szCs w:val="14"/>
        </w:rPr>
      </w:pPr>
      <w:r w:rsidRPr="009F5E4B">
        <w:rPr>
          <w:rFonts w:ascii="Arial" w:hAnsi="Arial" w:cs="Arial"/>
          <w:sz w:val="14"/>
          <w:szCs w:val="14"/>
        </w:rPr>
        <w:t xml:space="preserve">Autoría: </w:t>
      </w:r>
      <w:r w:rsidRPr="009F5E4B">
        <w:rPr>
          <w:rStyle w:val="nfasis"/>
          <w:rFonts w:ascii="Arial" w:hAnsi="Arial" w:cs="Arial"/>
          <w:i w:val="0"/>
          <w:color w:val="000000"/>
          <w:sz w:val="14"/>
          <w:szCs w:val="14"/>
        </w:rPr>
        <w:t>Víctor David Bernal Pavas y David Jiménez Mejía</w:t>
      </w:r>
    </w:p>
    <w:p w:rsidR="009458B6" w:rsidRDefault="009458B6" w:rsidP="00263DED">
      <w:pPr>
        <w:jc w:val="center"/>
        <w:rPr>
          <w:rFonts w:ascii="Arial" w:hAnsi="Arial" w:cs="Arial"/>
          <w:sz w:val="22"/>
        </w:rPr>
      </w:pPr>
    </w:p>
    <w:p w:rsidR="00692E43" w:rsidRPr="004C7405" w:rsidRDefault="00692E43" w:rsidP="00263DED">
      <w:pPr>
        <w:jc w:val="center"/>
        <w:rPr>
          <w:rFonts w:asciiTheme="majorHAnsi" w:hAnsiTheme="majorHAnsi" w:cstheme="majorHAnsi"/>
        </w:rPr>
      </w:pPr>
      <w:r w:rsidRPr="00A0567A">
        <w:rPr>
          <w:rFonts w:ascii="Arial" w:hAnsi="Arial" w:cs="Arial"/>
          <w:sz w:val="22"/>
        </w:rPr>
        <w:t>Gráfica 5 IP ACPM oficial vs IP ACPM calculado</w:t>
      </w:r>
    </w:p>
    <w:p w:rsidR="00692E43" w:rsidRDefault="00692E43" w:rsidP="00692E43">
      <w:pPr>
        <w:jc w:val="center"/>
        <w:rPr>
          <w:rFonts w:asciiTheme="majorHAnsi" w:hAnsiTheme="majorHAnsi" w:cstheme="majorHAnsi"/>
        </w:rPr>
      </w:pPr>
      <w:r w:rsidRPr="004C7405">
        <w:rPr>
          <w:rFonts w:asciiTheme="majorHAnsi" w:hAnsiTheme="majorHAnsi" w:cstheme="majorHAnsi"/>
          <w:noProof/>
          <w:lang w:eastAsia="es-CO"/>
        </w:rPr>
        <w:drawing>
          <wp:inline distT="0" distB="0" distL="0" distR="0" wp14:anchorId="49C5F6E7" wp14:editId="4A9DC965">
            <wp:extent cx="3372374" cy="2357306"/>
            <wp:effectExtent l="0" t="0" r="6350" b="1778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92E43" w:rsidRPr="004C7405" w:rsidRDefault="00692E43" w:rsidP="00263DED">
      <w:pPr>
        <w:jc w:val="center"/>
        <w:rPr>
          <w:rFonts w:asciiTheme="majorHAnsi" w:hAnsiTheme="majorHAnsi" w:cstheme="majorHAnsi"/>
        </w:rPr>
      </w:pPr>
      <w:r w:rsidRPr="009F5E4B">
        <w:rPr>
          <w:rFonts w:ascii="Arial" w:hAnsi="Arial" w:cs="Arial"/>
          <w:sz w:val="14"/>
          <w:szCs w:val="14"/>
        </w:rPr>
        <w:t xml:space="preserve">Autoría: </w:t>
      </w:r>
      <w:r w:rsidRPr="009F5E4B">
        <w:rPr>
          <w:rStyle w:val="nfasis"/>
          <w:rFonts w:ascii="Arial" w:hAnsi="Arial" w:cs="Arial"/>
          <w:i w:val="0"/>
          <w:color w:val="000000"/>
          <w:sz w:val="14"/>
          <w:szCs w:val="14"/>
        </w:rPr>
        <w:t>Víctor David Bernal Pavas y David Jiménez Mejía</w:t>
      </w:r>
    </w:p>
    <w:p w:rsidR="00692E43" w:rsidRPr="009F5E4B" w:rsidRDefault="00692E43" w:rsidP="00692E43">
      <w:pPr>
        <w:rPr>
          <w:rFonts w:ascii="Arial" w:hAnsi="Arial" w:cs="Arial"/>
          <w:sz w:val="14"/>
          <w:szCs w:val="14"/>
        </w:rPr>
      </w:pPr>
    </w:p>
    <w:p w:rsidR="00692E43" w:rsidRPr="004C7405" w:rsidRDefault="00692E43" w:rsidP="00692E43">
      <w:pPr>
        <w:jc w:val="right"/>
        <w:rPr>
          <w:rFonts w:asciiTheme="majorHAnsi" w:hAnsiTheme="majorHAnsi" w:cstheme="majorHAnsi"/>
        </w:rPr>
      </w:pPr>
    </w:p>
    <w:p w:rsidR="00692E43" w:rsidRDefault="00692E43" w:rsidP="00692E43">
      <w:pPr>
        <w:jc w:val="both"/>
        <w:rPr>
          <w:rFonts w:ascii="Arial" w:hAnsi="Arial" w:cs="Arial"/>
          <w:color w:val="333333"/>
          <w:bdr w:val="none" w:sz="0" w:space="0" w:color="auto" w:frame="1"/>
        </w:rPr>
      </w:pPr>
      <w:r>
        <w:rPr>
          <w:rFonts w:ascii="Arial" w:hAnsi="Arial" w:cs="Arial"/>
          <w:color w:val="333333"/>
        </w:rPr>
        <w:t>E</w:t>
      </w:r>
      <w:r w:rsidRPr="00DC2BCB">
        <w:rPr>
          <w:rFonts w:ascii="Arial" w:hAnsi="Arial" w:cs="Arial"/>
          <w:color w:val="333333"/>
        </w:rPr>
        <w:t xml:space="preserve">l Ministerio de Hacienda y Crédito Público por medio del Marco Fiscal de Mediano Plazo (MFMP) señala que </w:t>
      </w:r>
      <w:r w:rsidRPr="00DC2BCB">
        <w:rPr>
          <w:rFonts w:ascii="Arial" w:hAnsi="Arial" w:cs="Arial"/>
          <w:color w:val="333333"/>
          <w:bdr w:val="none" w:sz="0" w:space="0" w:color="auto" w:frame="1"/>
        </w:rPr>
        <w:t>el déficit acumulado del FEPC asciende a más de 1</w:t>
      </w:r>
      <w:r>
        <w:rPr>
          <w:rFonts w:ascii="Arial" w:hAnsi="Arial" w:cs="Arial"/>
          <w:color w:val="333333"/>
          <w:bdr w:val="none" w:sz="0" w:space="0" w:color="auto" w:frame="1"/>
        </w:rPr>
        <w:t>,3% del PIB y puntualmente</w:t>
      </w:r>
      <w:r w:rsidRPr="00DC2BCB">
        <w:rPr>
          <w:rFonts w:ascii="Arial" w:hAnsi="Arial" w:cs="Arial"/>
          <w:color w:val="333333"/>
          <w:bdr w:val="none" w:sz="0" w:space="0" w:color="auto" w:frame="1"/>
        </w:rPr>
        <w:t xml:space="preserve"> para 2018 se ubicó en 0.4% del PIB y además de esto advierte que,</w:t>
      </w:r>
      <w:r w:rsidRPr="00DC2BCB">
        <w:rPr>
          <w:rFonts w:ascii="Arial" w:hAnsi="Arial" w:cs="Arial"/>
          <w:color w:val="333333"/>
        </w:rPr>
        <w:t xml:space="preserve"> en el mediano plazo, de continuar el FEPC con el mismo funcionamiento, el déficit se acrecentaría significativamente a niveles de 2,5% del PIB.</w:t>
      </w:r>
      <w:r w:rsidRPr="00DC2BCB">
        <w:rPr>
          <w:rFonts w:ascii="Arial" w:hAnsi="Arial" w:cs="Arial"/>
          <w:color w:val="333333"/>
          <w:bdr w:val="none" w:sz="0" w:space="0" w:color="auto" w:frame="1"/>
        </w:rPr>
        <w:t xml:space="preserve"> Del total del déficit, cerca del 85% corresponde a déficit generado por el diferencial y la recuperación de los costos de importación, en tanto 15% a los subsidios de zona frontera.</w:t>
      </w:r>
    </w:p>
    <w:p w:rsidR="00692E43" w:rsidRPr="003D3296" w:rsidRDefault="00692E43" w:rsidP="00692E43">
      <w:pPr>
        <w:jc w:val="both"/>
        <w:rPr>
          <w:rFonts w:ascii="Arial" w:hAnsi="Arial" w:cs="Arial"/>
          <w:shd w:val="clear" w:color="auto" w:fill="FFFFFF"/>
        </w:rPr>
      </w:pPr>
    </w:p>
    <w:p w:rsidR="00692E43" w:rsidRDefault="00692E43" w:rsidP="00692E43">
      <w:pPr>
        <w:jc w:val="both"/>
        <w:rPr>
          <w:rFonts w:ascii="Arial" w:hAnsi="Arial" w:cs="Arial"/>
        </w:rPr>
      </w:pPr>
      <w:r>
        <w:rPr>
          <w:rFonts w:ascii="Arial" w:hAnsi="Arial" w:cs="Arial"/>
        </w:rPr>
        <w:lastRenderedPageBreak/>
        <w:t>Uno de los efectos macroeconómicos más importantes se dio en inflación ya que s</w:t>
      </w:r>
      <w:r w:rsidRPr="00DC2BCB">
        <w:rPr>
          <w:rFonts w:ascii="Arial" w:hAnsi="Arial" w:cs="Arial"/>
        </w:rPr>
        <w:t>egún un estudio realizado por el Banco de la Republica de autoría de Hernán Rincón y Aarón</w:t>
      </w:r>
      <w:r>
        <w:rPr>
          <w:rFonts w:ascii="Arial" w:hAnsi="Arial" w:cs="Arial"/>
        </w:rPr>
        <w:t xml:space="preserve"> Garavito para el año 2004 s</w:t>
      </w:r>
      <w:r w:rsidRPr="00DC2BCB">
        <w:rPr>
          <w:rFonts w:ascii="Arial" w:hAnsi="Arial" w:cs="Arial"/>
        </w:rPr>
        <w:t xml:space="preserve">e estima que un incremento en los precios de la gasolina y el </w:t>
      </w:r>
      <w:r w:rsidRPr="00780B24">
        <w:rPr>
          <w:rFonts w:ascii="Arial" w:hAnsi="Arial" w:cs="Arial"/>
        </w:rPr>
        <w:t>ACPM del 20% implican una inflación adicional de 0.54%, 0.44% proveniente de la gasolina y 0.1% del ACPM</w:t>
      </w:r>
      <w:r>
        <w:rPr>
          <w:rStyle w:val="Refdenotaalpie"/>
          <w:rFonts w:ascii="Arial" w:hAnsi="Arial" w:cs="Arial"/>
        </w:rPr>
        <w:footnoteReference w:id="13"/>
      </w:r>
      <w:r w:rsidRPr="00780B24">
        <w:rPr>
          <w:rFonts w:ascii="Arial" w:hAnsi="Arial" w:cs="Arial"/>
        </w:rPr>
        <w:t xml:space="preserve">. </w:t>
      </w:r>
    </w:p>
    <w:p w:rsidR="00692E43" w:rsidRPr="00780B24" w:rsidRDefault="00692E43" w:rsidP="00692E43">
      <w:pPr>
        <w:jc w:val="both"/>
        <w:rPr>
          <w:rFonts w:ascii="Arial" w:hAnsi="Arial" w:cs="Arial"/>
        </w:rPr>
      </w:pPr>
    </w:p>
    <w:p w:rsidR="00692E43" w:rsidRDefault="00692E43" w:rsidP="00692E43">
      <w:pPr>
        <w:jc w:val="both"/>
        <w:rPr>
          <w:rFonts w:ascii="Arial" w:hAnsi="Arial" w:cs="Arial"/>
        </w:rPr>
      </w:pPr>
      <w:r w:rsidRPr="00780B24">
        <w:rPr>
          <w:rFonts w:ascii="Arial" w:hAnsi="Arial" w:cs="Arial"/>
        </w:rPr>
        <w:t>Otro estudio realizado por</w:t>
      </w:r>
      <w:r>
        <w:rPr>
          <w:rFonts w:ascii="Arial" w:hAnsi="Arial" w:cs="Arial"/>
        </w:rPr>
        <w:t xml:space="preserve"> el Banco de la Republica de autoría de </w:t>
      </w:r>
      <w:r w:rsidRPr="00780B24">
        <w:rPr>
          <w:rFonts w:ascii="Arial" w:hAnsi="Arial" w:cs="Arial"/>
        </w:rPr>
        <w:t>Hernán Rincón</w:t>
      </w:r>
      <w:r>
        <w:rPr>
          <w:rFonts w:ascii="Arial" w:hAnsi="Arial" w:cs="Arial"/>
        </w:rPr>
        <w:t>, Ignacio Lozano y Jorge Ramos señalan</w:t>
      </w:r>
      <w:r w:rsidRPr="00780B24">
        <w:rPr>
          <w:rFonts w:ascii="Arial" w:hAnsi="Arial" w:cs="Arial"/>
        </w:rPr>
        <w:t xml:space="preserve"> </w:t>
      </w:r>
      <w:r>
        <w:rPr>
          <w:rFonts w:ascii="Arial" w:hAnsi="Arial" w:cs="Arial"/>
        </w:rPr>
        <w:t>que “</w:t>
      </w:r>
      <w:r w:rsidRPr="00780B24">
        <w:rPr>
          <w:rFonts w:ascii="Arial" w:hAnsi="Arial" w:cs="Arial"/>
        </w:rPr>
        <w:t>En los países donde el petróleo es propiedad del Estado, los choques de precios y de cantidades produjeron un mejoramiento inicial en las finanzas del sector público debido a las mayores rentas asociadas a la actividad petrolera, que beneficiaron diversas entidades del Estado. Sin embargo, la abundancia temporal de recursos produjo en varias economías la expansión permanente del gasto público, lo cual condujo al posterior deterioro del balance fiscal y al aumento del endeudamiento público</w:t>
      </w:r>
      <w:r>
        <w:rPr>
          <w:rFonts w:ascii="Arial" w:hAnsi="Arial" w:cs="Arial"/>
        </w:rPr>
        <w:t>”</w:t>
      </w:r>
      <w:r>
        <w:rPr>
          <w:rStyle w:val="Refdenotaalpie"/>
          <w:rFonts w:ascii="Arial" w:hAnsi="Arial" w:cs="Arial"/>
        </w:rPr>
        <w:footnoteReference w:id="14"/>
      </w:r>
      <w:r w:rsidRPr="00780B24">
        <w:rPr>
          <w:rFonts w:ascii="Arial" w:hAnsi="Arial" w:cs="Arial"/>
        </w:rPr>
        <w:t>.</w:t>
      </w:r>
      <w:r>
        <w:rPr>
          <w:rFonts w:ascii="Arial" w:hAnsi="Arial" w:cs="Arial"/>
        </w:rPr>
        <w:t xml:space="preserve"> Por lo cual en el largo plazo un precio de referencia fijado de manera discriminatoria multiplicaría este efecto de endeudamiento público de manera irresponsable generando un deterioro importante en la balanza fiscal.</w:t>
      </w:r>
    </w:p>
    <w:p w:rsidR="00692E43" w:rsidRDefault="00692E43" w:rsidP="00692E43">
      <w:pPr>
        <w:jc w:val="both"/>
        <w:rPr>
          <w:rFonts w:ascii="Arial" w:hAnsi="Arial" w:cs="Arial"/>
        </w:rPr>
      </w:pPr>
    </w:p>
    <w:p w:rsidR="00692E43" w:rsidRDefault="00692E43" w:rsidP="006261F6">
      <w:pPr>
        <w:jc w:val="both"/>
        <w:rPr>
          <w:rFonts w:ascii="Arial" w:hAnsi="Arial" w:cs="Arial"/>
        </w:rPr>
      </w:pPr>
      <w:r>
        <w:rPr>
          <w:rFonts w:ascii="Arial" w:hAnsi="Arial" w:cs="Arial"/>
        </w:rPr>
        <w:t xml:space="preserve">Por lo cual el siguiente proyecto de ley busca darle continuidad a la fórmula que se rige por medio de un mercado internacional basándonos en una política de costo de oportunidad de exportación restando costos de transporte, utilizando unas bandas responsables que generen una estabilidad tanto fiscal como de consumo de combustibles motor y ACPM. Desincentivando el parque automotor en municipios y departamentos por medio de una sobretasa justa y fijada a un precio de mercado y no de manera discriminatoria. Incentivando a municipios y departamentos al mayor uso del transporte público y la creación de políticas verdes en favor del medio ambiente. Garantizando por medio de la presente ley transparencia institucional delegando responsabilidades de vigilancia y control a entidades públicas con el fin que las leyes se cumplan.    </w:t>
      </w:r>
    </w:p>
    <w:p w:rsidR="000072EB" w:rsidRDefault="000072EB" w:rsidP="006261F6">
      <w:pPr>
        <w:jc w:val="both"/>
        <w:rPr>
          <w:rFonts w:ascii="Arial" w:hAnsi="Arial" w:cs="Arial"/>
        </w:rPr>
      </w:pPr>
    </w:p>
    <w:p w:rsidR="000072EB" w:rsidRDefault="000072EB" w:rsidP="000072EB">
      <w:pPr>
        <w:jc w:val="both"/>
        <w:rPr>
          <w:rFonts w:ascii="Arial" w:hAnsi="Arial" w:cs="Arial"/>
        </w:rPr>
      </w:pPr>
    </w:p>
    <w:p w:rsidR="00275DA4" w:rsidRDefault="00275DA4" w:rsidP="000072EB">
      <w:pPr>
        <w:jc w:val="both"/>
        <w:rPr>
          <w:rFonts w:ascii="Arial" w:hAnsi="Arial" w:cs="Arial"/>
        </w:rPr>
      </w:pPr>
    </w:p>
    <w:p w:rsidR="000072EB" w:rsidRDefault="000072EB" w:rsidP="000072EB"/>
    <w:p w:rsidR="00275DA4" w:rsidRDefault="00275DA4" w:rsidP="000072EB"/>
    <w:p w:rsidR="00275DA4" w:rsidRDefault="00275DA4" w:rsidP="000072EB"/>
    <w:p w:rsidR="00E724EE" w:rsidRPr="000072EB" w:rsidRDefault="00275DA4" w:rsidP="00275DA4">
      <w:pPr>
        <w:jc w:val="both"/>
        <w:rPr>
          <w:rFonts w:ascii="Arial" w:hAnsi="Arial" w:cs="Arial"/>
          <w:b/>
          <w:bCs/>
          <w:color w:val="000000" w:themeColor="text1"/>
        </w:rPr>
      </w:pPr>
      <w:r w:rsidRPr="000072EB">
        <w:rPr>
          <w:rFonts w:ascii="Arial" w:hAnsi="Arial" w:cs="Arial"/>
          <w:b/>
          <w:bCs/>
          <w:color w:val="000000" w:themeColor="text1"/>
        </w:rPr>
        <w:t>SANDRA LILIANA ORTIZ NOVA</w:t>
      </w:r>
    </w:p>
    <w:p w:rsidR="000072EB" w:rsidRDefault="00275DA4" w:rsidP="006261F6">
      <w:pPr>
        <w:jc w:val="both"/>
        <w:rPr>
          <w:rFonts w:ascii="Arial" w:hAnsi="Arial" w:cs="Arial"/>
          <w:b/>
          <w:bCs/>
          <w:color w:val="000000" w:themeColor="text1"/>
        </w:rPr>
      </w:pPr>
      <w:r w:rsidRPr="000072EB">
        <w:rPr>
          <w:rFonts w:ascii="Arial" w:hAnsi="Arial" w:cs="Arial"/>
          <w:b/>
          <w:bCs/>
          <w:color w:val="000000" w:themeColor="text1"/>
        </w:rPr>
        <w:t>Senadora de la Republica</w:t>
      </w:r>
    </w:p>
    <w:p w:rsidR="00E724EE" w:rsidRDefault="00E724EE" w:rsidP="006261F6">
      <w:pPr>
        <w:jc w:val="both"/>
        <w:rPr>
          <w:rFonts w:ascii="Arial" w:hAnsi="Arial" w:cs="Arial"/>
          <w:b/>
          <w:bCs/>
          <w:color w:val="000000" w:themeColor="text1"/>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r>
        <w:rPr>
          <w:rFonts w:ascii="Arial" w:hAnsi="Arial" w:cs="Arial"/>
          <w:color w:val="222222"/>
          <w:lang w:eastAsia="es-ES"/>
        </w:rPr>
        <w:t>_______________________________      ________________________________</w:t>
      </w: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r>
        <w:rPr>
          <w:rFonts w:ascii="Arial" w:hAnsi="Arial" w:cs="Arial"/>
          <w:color w:val="222222"/>
          <w:lang w:eastAsia="es-ES"/>
        </w:rPr>
        <w:t>_______________________________      ________________________________</w:t>
      </w: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r>
        <w:rPr>
          <w:rFonts w:ascii="Arial" w:hAnsi="Arial" w:cs="Arial"/>
          <w:color w:val="222222"/>
          <w:lang w:eastAsia="es-ES"/>
        </w:rPr>
        <w:t>_______________________________      ________________________________</w:t>
      </w: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r>
        <w:rPr>
          <w:rFonts w:ascii="Arial" w:hAnsi="Arial" w:cs="Arial"/>
          <w:color w:val="222222"/>
          <w:lang w:eastAsia="es-ES"/>
        </w:rPr>
        <w:t>_______________________________      ________________________________</w:t>
      </w: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r>
        <w:rPr>
          <w:rFonts w:ascii="Arial" w:hAnsi="Arial" w:cs="Arial"/>
          <w:color w:val="222222"/>
          <w:lang w:eastAsia="es-ES"/>
        </w:rPr>
        <w:t>_______________________________      ________________________________</w:t>
      </w: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r>
        <w:rPr>
          <w:rFonts w:ascii="Arial" w:hAnsi="Arial" w:cs="Arial"/>
          <w:color w:val="222222"/>
          <w:lang w:eastAsia="es-ES"/>
        </w:rPr>
        <w:t>_______________________________      ________________________________</w:t>
      </w: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r>
        <w:rPr>
          <w:rFonts w:ascii="Arial" w:hAnsi="Arial" w:cs="Arial"/>
          <w:color w:val="222222"/>
          <w:lang w:eastAsia="es-ES"/>
        </w:rPr>
        <w:t>_______________________________      ________________________________</w:t>
      </w: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r>
        <w:rPr>
          <w:rFonts w:ascii="Arial" w:hAnsi="Arial" w:cs="Arial"/>
          <w:color w:val="222222"/>
          <w:lang w:eastAsia="es-ES"/>
        </w:rPr>
        <w:t>_______________________________      ________________________________</w:t>
      </w: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r>
        <w:rPr>
          <w:rFonts w:ascii="Arial" w:hAnsi="Arial" w:cs="Arial"/>
          <w:color w:val="222222"/>
          <w:lang w:eastAsia="es-ES"/>
        </w:rPr>
        <w:t>_______________________________      ________________________________</w:t>
      </w: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r>
        <w:rPr>
          <w:rFonts w:ascii="Arial" w:hAnsi="Arial" w:cs="Arial"/>
          <w:color w:val="222222"/>
          <w:lang w:eastAsia="es-ES"/>
        </w:rPr>
        <w:t>_______________________________      ________________________________</w:t>
      </w: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r>
        <w:rPr>
          <w:rFonts w:ascii="Arial" w:hAnsi="Arial" w:cs="Arial"/>
          <w:color w:val="222222"/>
          <w:lang w:eastAsia="es-ES"/>
        </w:rPr>
        <w:t>_______________________________      ________________________________</w:t>
      </w: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r>
        <w:rPr>
          <w:rFonts w:ascii="Arial" w:hAnsi="Arial" w:cs="Arial"/>
          <w:color w:val="222222"/>
          <w:lang w:eastAsia="es-ES"/>
        </w:rPr>
        <w:t>_______________________________      ________________________________</w:t>
      </w: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r>
        <w:rPr>
          <w:rFonts w:ascii="Arial" w:hAnsi="Arial" w:cs="Arial"/>
          <w:color w:val="222222"/>
          <w:lang w:eastAsia="es-ES"/>
        </w:rPr>
        <w:t>_______________________________      ________________________________</w:t>
      </w: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r>
        <w:rPr>
          <w:rFonts w:ascii="Arial" w:hAnsi="Arial" w:cs="Arial"/>
          <w:color w:val="222222"/>
          <w:lang w:eastAsia="es-ES"/>
        </w:rPr>
        <w:t>_______________________________      ________________________________</w:t>
      </w: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r>
        <w:rPr>
          <w:rFonts w:ascii="Arial" w:hAnsi="Arial" w:cs="Arial"/>
          <w:color w:val="222222"/>
          <w:lang w:eastAsia="es-ES"/>
        </w:rPr>
        <w:t>_______________________________      ________________________________</w:t>
      </w: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r>
        <w:rPr>
          <w:rFonts w:ascii="Arial" w:hAnsi="Arial" w:cs="Arial"/>
          <w:color w:val="222222"/>
          <w:lang w:eastAsia="es-ES"/>
        </w:rPr>
        <w:t>_______________________________      ________________________________</w:t>
      </w: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r>
        <w:rPr>
          <w:rFonts w:ascii="Arial" w:hAnsi="Arial" w:cs="Arial"/>
          <w:color w:val="222222"/>
          <w:lang w:eastAsia="es-ES"/>
        </w:rPr>
        <w:t>_______________________________      ________________________________</w:t>
      </w: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r>
        <w:rPr>
          <w:rFonts w:ascii="Arial" w:hAnsi="Arial" w:cs="Arial"/>
          <w:color w:val="222222"/>
          <w:lang w:eastAsia="es-ES"/>
        </w:rPr>
        <w:t>_______________________________      ________________________________</w:t>
      </w: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r>
        <w:rPr>
          <w:rFonts w:ascii="Arial" w:hAnsi="Arial" w:cs="Arial"/>
          <w:color w:val="222222"/>
          <w:lang w:eastAsia="es-ES"/>
        </w:rPr>
        <w:t>_______________________________      ________________________________</w:t>
      </w: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p>
    <w:p w:rsidR="00E724EE" w:rsidRDefault="00E724EE" w:rsidP="00E724EE">
      <w:pPr>
        <w:rPr>
          <w:rFonts w:ascii="Arial" w:hAnsi="Arial" w:cs="Arial"/>
          <w:color w:val="222222"/>
          <w:lang w:eastAsia="es-ES"/>
        </w:rPr>
      </w:pPr>
      <w:r>
        <w:rPr>
          <w:rFonts w:ascii="Arial" w:hAnsi="Arial" w:cs="Arial"/>
          <w:color w:val="222222"/>
          <w:lang w:eastAsia="es-ES"/>
        </w:rPr>
        <w:t>_______________________________      ________________________________</w:t>
      </w:r>
    </w:p>
    <w:sectPr w:rsidR="00E724EE" w:rsidSect="0076221E">
      <w:headerReference w:type="default" r:id="rId18"/>
      <w:footerReference w:type="defaul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F4C" w:rsidRDefault="006A6F4C" w:rsidP="002F4BF8">
      <w:r>
        <w:separator/>
      </w:r>
    </w:p>
  </w:endnote>
  <w:endnote w:type="continuationSeparator" w:id="0">
    <w:p w:rsidR="006A6F4C" w:rsidRDefault="006A6F4C" w:rsidP="002F4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F4C" w:rsidRPr="00841648" w:rsidRDefault="006A6F4C" w:rsidP="002F4BF8">
    <w:pPr>
      <w:pStyle w:val="Piedepgina"/>
      <w:jc w:val="center"/>
      <w:rPr>
        <w:color w:val="000000" w:themeColor="text1"/>
        <w:sz w:val="20"/>
        <w:szCs w:val="20"/>
      </w:rPr>
    </w:pPr>
    <w:r w:rsidRPr="00841648">
      <w:rPr>
        <w:b/>
        <w:color w:val="000000" w:themeColor="text1"/>
        <w:sz w:val="20"/>
        <w:szCs w:val="20"/>
      </w:rPr>
      <w:t>Congreso de la República Cra. 7 N°</w:t>
    </w:r>
    <w:r>
      <w:rPr>
        <w:b/>
        <w:color w:val="000000" w:themeColor="text1"/>
        <w:sz w:val="20"/>
        <w:szCs w:val="20"/>
      </w:rPr>
      <w:t xml:space="preserve"> </w:t>
    </w:r>
    <w:r w:rsidRPr="00841648">
      <w:rPr>
        <w:b/>
        <w:color w:val="000000" w:themeColor="text1"/>
        <w:sz w:val="20"/>
        <w:szCs w:val="20"/>
      </w:rPr>
      <w:t xml:space="preserve">8 </w:t>
    </w:r>
    <w:r>
      <w:rPr>
        <w:b/>
        <w:color w:val="000000" w:themeColor="text1"/>
        <w:sz w:val="20"/>
        <w:szCs w:val="20"/>
      </w:rPr>
      <w:t>–</w:t>
    </w:r>
    <w:r w:rsidRPr="00841648">
      <w:rPr>
        <w:b/>
        <w:color w:val="000000" w:themeColor="text1"/>
        <w:sz w:val="20"/>
        <w:szCs w:val="20"/>
      </w:rPr>
      <w:t xml:space="preserve"> 68</w:t>
    </w:r>
    <w:r>
      <w:rPr>
        <w:b/>
        <w:color w:val="000000" w:themeColor="text1"/>
        <w:sz w:val="20"/>
        <w:szCs w:val="20"/>
      </w:rPr>
      <w:t xml:space="preserve"> Bogotá D.C., </w:t>
    </w:r>
    <w:r w:rsidRPr="00841648">
      <w:rPr>
        <w:b/>
        <w:color w:val="000000" w:themeColor="text1"/>
        <w:sz w:val="20"/>
        <w:szCs w:val="20"/>
      </w:rPr>
      <w:t xml:space="preserve">Oficina </w:t>
    </w:r>
    <w:r>
      <w:rPr>
        <w:b/>
        <w:color w:val="000000" w:themeColor="text1"/>
        <w:sz w:val="20"/>
        <w:szCs w:val="20"/>
      </w:rPr>
      <w:t xml:space="preserve">327 Edificio Nuevo del Congreso. </w:t>
    </w:r>
  </w:p>
  <w:p w:rsidR="006A6F4C" w:rsidRPr="002F4BF8" w:rsidRDefault="006A6F4C" w:rsidP="002F4BF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F4C" w:rsidRDefault="006A6F4C" w:rsidP="002F4BF8">
      <w:r>
        <w:separator/>
      </w:r>
    </w:p>
  </w:footnote>
  <w:footnote w:type="continuationSeparator" w:id="0">
    <w:p w:rsidR="006A6F4C" w:rsidRDefault="006A6F4C" w:rsidP="002F4BF8">
      <w:r>
        <w:continuationSeparator/>
      </w:r>
    </w:p>
  </w:footnote>
  <w:footnote w:id="1">
    <w:p w:rsidR="006A6F4C" w:rsidRPr="00692E43" w:rsidRDefault="006A6F4C" w:rsidP="00692E43">
      <w:pPr>
        <w:pStyle w:val="Textonotapie"/>
        <w:rPr>
          <w:sz w:val="16"/>
          <w:szCs w:val="16"/>
        </w:rPr>
      </w:pPr>
      <w:r w:rsidRPr="00692E43">
        <w:rPr>
          <w:rStyle w:val="Refdenotaalpie"/>
          <w:sz w:val="16"/>
          <w:szCs w:val="16"/>
        </w:rPr>
        <w:footnoteRef/>
      </w:r>
      <w:r w:rsidRPr="00692E43">
        <w:rPr>
          <w:sz w:val="16"/>
          <w:szCs w:val="16"/>
        </w:rPr>
        <w:t xml:space="preserve"> </w:t>
      </w:r>
      <w:hyperlink r:id="rId1" w:history="1">
        <w:r w:rsidRPr="00692E43">
          <w:rPr>
            <w:rStyle w:val="Hipervnculo"/>
            <w:sz w:val="16"/>
            <w:szCs w:val="16"/>
          </w:rPr>
          <w:t>http://www.suin-juriscol.gov.co/viewDocument.asp?id=30036291</w:t>
        </w:r>
      </w:hyperlink>
    </w:p>
  </w:footnote>
  <w:footnote w:id="2">
    <w:p w:rsidR="006A6F4C" w:rsidRPr="00D25AB1" w:rsidRDefault="006A6F4C" w:rsidP="00BD704B">
      <w:pPr>
        <w:pStyle w:val="Textonotapie"/>
      </w:pPr>
      <w:r>
        <w:rPr>
          <w:rStyle w:val="Refdenotaalpie"/>
        </w:rPr>
        <w:footnoteRef/>
      </w:r>
      <w:r>
        <w:t xml:space="preserve"> Sentencia c-060 de 2018. MP Gloria Stella Ortiz Delgado</w:t>
      </w:r>
    </w:p>
  </w:footnote>
  <w:footnote w:id="3">
    <w:p w:rsidR="006A6F4C" w:rsidRPr="00BD704B" w:rsidRDefault="006A6F4C" w:rsidP="000072EB">
      <w:pPr>
        <w:rPr>
          <w:sz w:val="16"/>
          <w:szCs w:val="16"/>
        </w:rPr>
      </w:pPr>
      <w:r w:rsidRPr="00BD704B">
        <w:rPr>
          <w:rStyle w:val="Refdenotaalpie"/>
          <w:sz w:val="16"/>
          <w:szCs w:val="16"/>
        </w:rPr>
        <w:footnoteRef/>
      </w:r>
      <w:r w:rsidRPr="00BD704B">
        <w:rPr>
          <w:sz w:val="16"/>
          <w:szCs w:val="16"/>
        </w:rPr>
        <w:t xml:space="preserve"> CCO-2602/2011 Estudio para la Estructuración de un Programa de Aseguramiento de Calidad (QA/QC) de los Biocombustibles y sus Mezclas con Combustibles Fósiles en Colombia con proyección a los Mercados Internacionales – Informe Final</w:t>
      </w:r>
    </w:p>
    <w:p w:rsidR="006A6F4C" w:rsidRPr="00BD704B" w:rsidRDefault="006A6F4C" w:rsidP="000072EB">
      <w:pPr>
        <w:pStyle w:val="Textonotapie"/>
      </w:pPr>
    </w:p>
  </w:footnote>
  <w:footnote w:id="4">
    <w:p w:rsidR="006A6F4C" w:rsidRPr="00BD704B" w:rsidRDefault="006A6F4C" w:rsidP="000072EB">
      <w:pPr>
        <w:rPr>
          <w:sz w:val="16"/>
          <w:szCs w:val="16"/>
        </w:rPr>
      </w:pPr>
      <w:r w:rsidRPr="00BD704B">
        <w:rPr>
          <w:rStyle w:val="Refdenotaalpie"/>
          <w:sz w:val="16"/>
          <w:szCs w:val="16"/>
        </w:rPr>
        <w:footnoteRef/>
      </w:r>
      <w:r w:rsidRPr="00BD704B">
        <w:rPr>
          <w:sz w:val="16"/>
          <w:szCs w:val="16"/>
        </w:rPr>
        <w:t xml:space="preserve"> CCO-2602/2011 Estudio para la Estructuración de un Programa de Aseguramiento de Calidad (QA/QC) de los Biocombustibles y sus Mezclas con Combustibles Fósiles en Colombia con proyección a los Mercados Internacionales – Informe Final</w:t>
      </w:r>
    </w:p>
    <w:p w:rsidR="006A6F4C" w:rsidRPr="00BD704B" w:rsidRDefault="006A6F4C" w:rsidP="000072EB">
      <w:pPr>
        <w:pStyle w:val="Textonotapie"/>
      </w:pPr>
    </w:p>
  </w:footnote>
  <w:footnote w:id="5">
    <w:p w:rsidR="006A6F4C" w:rsidRPr="00BD704B" w:rsidRDefault="006A6F4C" w:rsidP="000072EB">
      <w:pPr>
        <w:rPr>
          <w:sz w:val="16"/>
          <w:szCs w:val="16"/>
        </w:rPr>
      </w:pPr>
      <w:r w:rsidRPr="00BD704B">
        <w:rPr>
          <w:rStyle w:val="Refdenotaalpie"/>
          <w:sz w:val="16"/>
          <w:szCs w:val="16"/>
        </w:rPr>
        <w:footnoteRef/>
      </w:r>
      <w:r w:rsidRPr="00BD704B">
        <w:rPr>
          <w:sz w:val="16"/>
          <w:szCs w:val="16"/>
        </w:rPr>
        <w:t xml:space="preserve"> CCO-2602/2011 Estudio para la Estructuración de un Programa de Aseguramiento de Calidad (QA/QC) de los Biocombustibles y sus Mezclas con Combustibles Fósiles en Colombia con proyección a los Mercados Internacionales – Informe Final</w:t>
      </w:r>
    </w:p>
    <w:p w:rsidR="006A6F4C" w:rsidRPr="00BD704B" w:rsidRDefault="006A6F4C" w:rsidP="000072EB">
      <w:pPr>
        <w:pStyle w:val="Textonotapie"/>
      </w:pPr>
    </w:p>
  </w:footnote>
  <w:footnote w:id="6">
    <w:p w:rsidR="006A6F4C" w:rsidRPr="00BD704B" w:rsidRDefault="006A6F4C" w:rsidP="000072EB">
      <w:pPr>
        <w:rPr>
          <w:sz w:val="16"/>
          <w:szCs w:val="16"/>
        </w:rPr>
      </w:pPr>
      <w:r w:rsidRPr="00BD704B">
        <w:rPr>
          <w:rStyle w:val="Refdenotaalpie"/>
          <w:sz w:val="16"/>
          <w:szCs w:val="16"/>
        </w:rPr>
        <w:footnoteRef/>
      </w:r>
      <w:r w:rsidRPr="00BD704B">
        <w:rPr>
          <w:sz w:val="16"/>
          <w:szCs w:val="16"/>
        </w:rPr>
        <w:t xml:space="preserve"> CCO-2602/2011 Estudio para la Estructuración de un Programa de Aseguramiento de Calidad (QA/QC) de los Biocombustibles y sus Mezclas con Combustibles Fósiles en Colombia con proyección a los Mercados Internacionales – Informe Final</w:t>
      </w:r>
    </w:p>
    <w:p w:rsidR="006A6F4C" w:rsidRPr="00BD704B" w:rsidRDefault="006A6F4C" w:rsidP="000072EB">
      <w:pPr>
        <w:pStyle w:val="Textonotapie"/>
      </w:pPr>
    </w:p>
  </w:footnote>
  <w:footnote w:id="7">
    <w:p w:rsidR="006A6F4C" w:rsidRPr="00692E43" w:rsidRDefault="006A6F4C" w:rsidP="00692E43">
      <w:pPr>
        <w:jc w:val="both"/>
        <w:rPr>
          <w:rFonts w:asciiTheme="majorHAnsi" w:hAnsiTheme="majorHAnsi" w:cstheme="majorHAnsi"/>
          <w:b/>
          <w:sz w:val="16"/>
          <w:szCs w:val="16"/>
          <w:highlight w:val="white"/>
        </w:rPr>
      </w:pPr>
      <w:r>
        <w:rPr>
          <w:rStyle w:val="Refdenotaalpie"/>
        </w:rPr>
        <w:footnoteRef/>
      </w:r>
      <w:r>
        <w:t xml:space="preserve"> </w:t>
      </w:r>
      <w:r w:rsidRPr="00692E43">
        <w:rPr>
          <w:rFonts w:asciiTheme="majorHAnsi" w:hAnsiTheme="majorHAnsi" w:cstheme="majorHAnsi"/>
          <w:b/>
          <w:sz w:val="16"/>
          <w:szCs w:val="16"/>
          <w:highlight w:val="white"/>
        </w:rPr>
        <w:t>Análisis de las políticas de estabilización de los precios internos de los combustibles líquidos (Gasolina corriente y ACPM) en Colombia. Periodo 2009-2016</w:t>
      </w:r>
    </w:p>
    <w:p w:rsidR="006A6F4C" w:rsidRPr="00692E43" w:rsidRDefault="006A6F4C" w:rsidP="00692E43">
      <w:pPr>
        <w:pStyle w:val="Textonotapie"/>
        <w:rPr>
          <w:sz w:val="16"/>
          <w:szCs w:val="16"/>
        </w:rPr>
      </w:pPr>
    </w:p>
  </w:footnote>
  <w:footnote w:id="8">
    <w:p w:rsidR="006A6F4C" w:rsidRDefault="006A6F4C" w:rsidP="00692E43">
      <w:pPr>
        <w:pStyle w:val="Textonotapie"/>
      </w:pPr>
      <w:r w:rsidRPr="00692E43">
        <w:rPr>
          <w:rStyle w:val="Refdenotaalpie"/>
          <w:sz w:val="16"/>
          <w:szCs w:val="16"/>
        </w:rPr>
        <w:footnoteRef/>
      </w:r>
      <w:r w:rsidRPr="00692E43">
        <w:rPr>
          <w:sz w:val="16"/>
          <w:szCs w:val="16"/>
        </w:rPr>
        <w:t xml:space="preserve"> RIESGO FINANCIERO DE UNA DISTRIBUIDORA DE GASOLINA MOTOR CORRIENTE EN COLOMBIA: ANÁLISIS, MEDICIÓN Y GESTIÓN DEL RIESGO DE MERCADO</w:t>
      </w:r>
    </w:p>
  </w:footnote>
  <w:footnote w:id="9">
    <w:p w:rsidR="006A6F4C" w:rsidRPr="00263DED" w:rsidRDefault="006A6F4C" w:rsidP="00692E43">
      <w:pPr>
        <w:jc w:val="both"/>
        <w:rPr>
          <w:rFonts w:asciiTheme="majorHAnsi" w:hAnsiTheme="majorHAnsi" w:cstheme="majorHAnsi"/>
          <w:sz w:val="13"/>
          <w:szCs w:val="13"/>
          <w:highlight w:val="white"/>
        </w:rPr>
      </w:pPr>
      <w:r w:rsidRPr="00263DED">
        <w:rPr>
          <w:rStyle w:val="Refdenotaalpie"/>
          <w:sz w:val="13"/>
          <w:szCs w:val="13"/>
        </w:rPr>
        <w:footnoteRef/>
      </w:r>
      <w:r w:rsidRPr="00263DED">
        <w:rPr>
          <w:sz w:val="13"/>
          <w:szCs w:val="13"/>
        </w:rPr>
        <w:t xml:space="preserve"> </w:t>
      </w:r>
      <w:r w:rsidRPr="00263DED">
        <w:rPr>
          <w:rFonts w:asciiTheme="majorHAnsi" w:hAnsiTheme="majorHAnsi" w:cstheme="majorHAnsi"/>
          <w:sz w:val="13"/>
          <w:szCs w:val="13"/>
          <w:highlight w:val="white"/>
        </w:rPr>
        <w:t>Análisis de las políticas de estabilización de los precios internos de los combustibles líquidos (Gasolina corriente y ACPM) en Colombia. Periodo 2009-2016</w:t>
      </w:r>
    </w:p>
    <w:p w:rsidR="006A6F4C" w:rsidRPr="00263DED" w:rsidRDefault="006A6F4C" w:rsidP="00692E43">
      <w:pPr>
        <w:pStyle w:val="Textonotapie"/>
        <w:rPr>
          <w:sz w:val="13"/>
          <w:szCs w:val="13"/>
        </w:rPr>
      </w:pPr>
    </w:p>
  </w:footnote>
  <w:footnote w:id="10">
    <w:p w:rsidR="006A6F4C" w:rsidRPr="00263DED" w:rsidRDefault="006A6F4C" w:rsidP="00692E43">
      <w:pPr>
        <w:jc w:val="both"/>
        <w:rPr>
          <w:rFonts w:asciiTheme="majorHAnsi" w:hAnsiTheme="majorHAnsi" w:cstheme="majorHAnsi"/>
          <w:sz w:val="13"/>
          <w:szCs w:val="13"/>
          <w:highlight w:val="white"/>
        </w:rPr>
      </w:pPr>
      <w:r w:rsidRPr="00263DED">
        <w:rPr>
          <w:rStyle w:val="Refdenotaalpie"/>
          <w:sz w:val="13"/>
          <w:szCs w:val="13"/>
        </w:rPr>
        <w:footnoteRef/>
      </w:r>
      <w:r w:rsidRPr="00263DED">
        <w:rPr>
          <w:sz w:val="13"/>
          <w:szCs w:val="13"/>
        </w:rPr>
        <w:t xml:space="preserve"> </w:t>
      </w:r>
      <w:r w:rsidRPr="00263DED">
        <w:rPr>
          <w:rFonts w:asciiTheme="majorHAnsi" w:hAnsiTheme="majorHAnsi" w:cstheme="majorHAnsi"/>
          <w:sz w:val="13"/>
          <w:szCs w:val="13"/>
          <w:highlight w:val="white"/>
        </w:rPr>
        <w:t>Análisis de las políticas de estabilización de los precios internos de los combustibles líquidos (Gasolina corriente y ACPM) en Colombia. Periodo 2009-2016</w:t>
      </w:r>
    </w:p>
    <w:p w:rsidR="006A6F4C" w:rsidRPr="00263DED" w:rsidRDefault="006A6F4C" w:rsidP="00692E43">
      <w:pPr>
        <w:pStyle w:val="Textonotapie"/>
        <w:rPr>
          <w:sz w:val="13"/>
          <w:szCs w:val="13"/>
        </w:rPr>
      </w:pPr>
    </w:p>
  </w:footnote>
  <w:footnote w:id="11">
    <w:p w:rsidR="006A6F4C" w:rsidRPr="00263DED" w:rsidRDefault="006A6F4C" w:rsidP="00692E43">
      <w:pPr>
        <w:pStyle w:val="Textonotapie"/>
        <w:rPr>
          <w:sz w:val="13"/>
          <w:szCs w:val="13"/>
        </w:rPr>
      </w:pPr>
      <w:r w:rsidRPr="00263DED">
        <w:rPr>
          <w:rStyle w:val="Refdenotaalpie"/>
          <w:sz w:val="13"/>
          <w:szCs w:val="13"/>
        </w:rPr>
        <w:footnoteRef/>
      </w:r>
      <w:r w:rsidRPr="00263DED">
        <w:rPr>
          <w:sz w:val="13"/>
          <w:szCs w:val="13"/>
        </w:rPr>
        <w:t xml:space="preserve"> RIESGO FINANCIERO DE UNA DISTRIBUIDORA DE GASOLINA MOTOR CORRIENTE EN COLOMBIA: ANÁLISIS, MEDICIÓN Y GESTIÓN DEL RIESGO DE MERCADO</w:t>
      </w:r>
    </w:p>
  </w:footnote>
  <w:footnote w:id="12">
    <w:p w:rsidR="006A6F4C" w:rsidRPr="00263DED" w:rsidRDefault="006A6F4C" w:rsidP="00692E43">
      <w:pPr>
        <w:jc w:val="both"/>
        <w:rPr>
          <w:rFonts w:asciiTheme="majorHAnsi" w:hAnsiTheme="majorHAnsi" w:cstheme="majorHAnsi"/>
          <w:bCs/>
          <w:sz w:val="16"/>
          <w:szCs w:val="16"/>
          <w:highlight w:val="white"/>
        </w:rPr>
      </w:pPr>
      <w:r>
        <w:rPr>
          <w:rStyle w:val="Refdenotaalpie"/>
        </w:rPr>
        <w:footnoteRef/>
      </w:r>
      <w:r>
        <w:t xml:space="preserve"> </w:t>
      </w:r>
      <w:r w:rsidRPr="00263DED">
        <w:rPr>
          <w:rFonts w:asciiTheme="majorHAnsi" w:hAnsiTheme="majorHAnsi" w:cstheme="majorHAnsi"/>
          <w:bCs/>
          <w:sz w:val="16"/>
          <w:szCs w:val="16"/>
          <w:highlight w:val="white"/>
        </w:rPr>
        <w:t>Análisis de las políticas de estabilización de los precios internos de los combustibles líquidos (Gasolina corriente y ACPM) en Colombia. Periodo 2009-2016</w:t>
      </w:r>
    </w:p>
    <w:p w:rsidR="006A6F4C" w:rsidRPr="00263DED" w:rsidRDefault="006A6F4C" w:rsidP="00692E43">
      <w:pPr>
        <w:pStyle w:val="Textonotapie"/>
        <w:rPr>
          <w:bCs/>
        </w:rPr>
      </w:pPr>
    </w:p>
  </w:footnote>
  <w:footnote w:id="13">
    <w:p w:rsidR="006A6F4C" w:rsidRPr="00692E43" w:rsidRDefault="006A6F4C" w:rsidP="00692E43">
      <w:pPr>
        <w:pStyle w:val="Textonotapie"/>
        <w:rPr>
          <w:sz w:val="16"/>
          <w:szCs w:val="16"/>
        </w:rPr>
      </w:pPr>
      <w:r w:rsidRPr="00692E43">
        <w:rPr>
          <w:rStyle w:val="Refdenotaalpie"/>
          <w:sz w:val="16"/>
          <w:szCs w:val="16"/>
        </w:rPr>
        <w:footnoteRef/>
      </w:r>
      <w:r w:rsidRPr="00692E43">
        <w:rPr>
          <w:sz w:val="16"/>
          <w:szCs w:val="16"/>
        </w:rPr>
        <w:t xml:space="preserve"> </w:t>
      </w:r>
      <w:hyperlink r:id="rId2" w:history="1">
        <w:r w:rsidRPr="00692E43">
          <w:rPr>
            <w:rStyle w:val="Hipervnculo"/>
            <w:sz w:val="16"/>
            <w:szCs w:val="16"/>
          </w:rPr>
          <w:t>http://www.banrep.gov.co/docum/ftp/borra287.pdf</w:t>
        </w:r>
      </w:hyperlink>
    </w:p>
  </w:footnote>
  <w:footnote w:id="14">
    <w:p w:rsidR="006A6F4C" w:rsidRDefault="006A6F4C" w:rsidP="00692E43">
      <w:pPr>
        <w:pStyle w:val="Textonotapie"/>
      </w:pPr>
      <w:r w:rsidRPr="00692E43">
        <w:rPr>
          <w:rStyle w:val="Refdenotaalpie"/>
          <w:sz w:val="16"/>
          <w:szCs w:val="16"/>
        </w:rPr>
        <w:footnoteRef/>
      </w:r>
      <w:r w:rsidRPr="00692E43">
        <w:rPr>
          <w:sz w:val="16"/>
          <w:szCs w:val="16"/>
        </w:rPr>
        <w:t xml:space="preserve"> </w:t>
      </w:r>
      <w:hyperlink r:id="rId3" w:history="1">
        <w:r w:rsidRPr="00692E43">
          <w:rPr>
            <w:rStyle w:val="Hipervnculo"/>
            <w:sz w:val="16"/>
            <w:szCs w:val="16"/>
          </w:rPr>
          <w:t>http://banrep.gov.co/docum/ftp/borra541.pdf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F4C" w:rsidRPr="00F06A1C" w:rsidRDefault="006A6F4C" w:rsidP="00F06A1C">
    <w:pPr>
      <w:jc w:val="both"/>
    </w:pPr>
    <w:r>
      <w:rPr>
        <w:b/>
        <w:i/>
        <w:noProof/>
        <w:lang w:eastAsia="es-CO"/>
      </w:rPr>
      <w:drawing>
        <wp:inline distT="0" distB="0" distL="0" distR="0" wp14:anchorId="46B9796F" wp14:editId="54746819">
          <wp:extent cx="1741714" cy="623184"/>
          <wp:effectExtent l="0" t="0" r="0" b="0"/>
          <wp:docPr id="26" name="Imagen 26" descr="/var/folders/0l/qdctjq3j7j7cxb1p212_98dm0000gn/T/com.microsoft.Word/Content.MSO/8DB665A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var/folders/0l/qdctjq3j7j7cxb1p212_98dm0000gn/T/com.microsoft.Word/Content.MSO/8DB665AE.tmp"/>
                  <pic:cNvPicPr>
                    <a:picLocks noChangeAspect="1" noChangeArrowheads="1"/>
                  </pic:cNvPicPr>
                </pic:nvPicPr>
                <pic:blipFill rotWithShape="1">
                  <a:blip r:embed="rId1">
                    <a:extLst>
                      <a:ext uri="{28A0092B-C50C-407E-A947-70E740481C1C}">
                        <a14:useLocalDpi xmlns:a14="http://schemas.microsoft.com/office/drawing/2010/main" val="0"/>
                      </a:ext>
                    </a:extLst>
                  </a:blip>
                  <a:srcRect l="6469" t="15707" r="6368" b="16487"/>
                  <a:stretch/>
                </pic:blipFill>
                <pic:spPr bwMode="auto">
                  <a:xfrm>
                    <a:off x="0" y="0"/>
                    <a:ext cx="1750941" cy="626485"/>
                  </a:xfrm>
                  <a:prstGeom prst="rect">
                    <a:avLst/>
                  </a:prstGeom>
                  <a:noFill/>
                  <a:ln>
                    <a:noFill/>
                  </a:ln>
                  <a:extLst>
                    <a:ext uri="{53640926-AAD7-44D8-BBD7-CCE9431645EC}">
                      <a14:shadowObscured xmlns:a14="http://schemas.microsoft.com/office/drawing/2010/main"/>
                    </a:ext>
                  </a:extLst>
                </pic:spPr>
              </pic:pic>
            </a:graphicData>
          </a:graphic>
        </wp:inline>
      </w:drawing>
    </w:r>
    <w:r>
      <w:rPr>
        <w:b/>
        <w:i/>
      </w:rPr>
      <w:t xml:space="preserve">                                                         </w:t>
    </w:r>
    <w:r w:rsidRPr="00F06A1C">
      <w:rPr>
        <w:noProof/>
        <w:lang w:eastAsia="es-CO"/>
      </w:rPr>
      <w:drawing>
        <wp:inline distT="0" distB="0" distL="0" distR="0" wp14:anchorId="03A8C75B" wp14:editId="7CF4A31B">
          <wp:extent cx="1680755" cy="906748"/>
          <wp:effectExtent l="0" t="0" r="0" b="0"/>
          <wp:docPr id="5" name="Imagen 5" descr="Resultado de imagen para logo sen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senad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063" cy="930652"/>
                  </a:xfrm>
                  <a:prstGeom prst="rect">
                    <a:avLst/>
                  </a:prstGeom>
                  <a:noFill/>
                  <a:ln>
                    <a:noFill/>
                  </a:ln>
                </pic:spPr>
              </pic:pic>
            </a:graphicData>
          </a:graphic>
        </wp:inline>
      </w:drawing>
    </w:r>
    <w:r w:rsidRPr="00F06A1C">
      <w:fldChar w:fldCharType="begin"/>
    </w:r>
    <w:r w:rsidRPr="00F06A1C">
      <w:instrText xml:space="preserve"> INCLUDEPICTURE "https://live.staticflickr.com/4142/4923885993_2c8a8eb644_b.jpg" \* MERGEFORMATINET </w:instrText>
    </w:r>
    <w:r w:rsidRPr="00F06A1C">
      <w:fldChar w:fldCharType="end"/>
    </w:r>
  </w:p>
  <w:p w:rsidR="006A6F4C" w:rsidRDefault="006A6F4C" w:rsidP="002F4BF8"/>
  <w:p w:rsidR="006A6F4C" w:rsidRPr="002F4BF8" w:rsidRDefault="006A6F4C" w:rsidP="002F4BF8">
    <w:pPr>
      <w:pStyle w:val="Encabezado"/>
      <w:jc w:val="center"/>
      <w:rPr>
        <w:b/>
        <w:i/>
        <w:sz w:val="20"/>
        <w:szCs w:val="20"/>
      </w:rPr>
    </w:pPr>
    <w:r w:rsidRPr="002F4BF8">
      <w:rPr>
        <w:b/>
        <w:i/>
        <w:sz w:val="20"/>
        <w:szCs w:val="20"/>
      </w:rPr>
      <w:t>HONORABLE SENADORA SANDRA LILIANA ORTIZ NOVA</w:t>
    </w:r>
  </w:p>
  <w:p w:rsidR="006A6F4C" w:rsidRDefault="006A6F4C" w:rsidP="002F4BF8">
    <w:pPr>
      <w:pStyle w:val="Encabezado"/>
      <w:jc w:val="center"/>
      <w:rPr>
        <w:b/>
        <w:i/>
      </w:rPr>
    </w:pPr>
  </w:p>
  <w:p w:rsidR="006A6F4C" w:rsidRDefault="006A6F4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7A5755"/>
    <w:multiLevelType w:val="hybridMultilevel"/>
    <w:tmpl w:val="1D28E29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68D50A05"/>
    <w:multiLevelType w:val="hybridMultilevel"/>
    <w:tmpl w:val="21FC021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51A"/>
    <w:rsid w:val="000072EB"/>
    <w:rsid w:val="000206E6"/>
    <w:rsid w:val="00033305"/>
    <w:rsid w:val="000422EA"/>
    <w:rsid w:val="000439D7"/>
    <w:rsid w:val="00045EC9"/>
    <w:rsid w:val="000810F8"/>
    <w:rsid w:val="00081181"/>
    <w:rsid w:val="000A39E6"/>
    <w:rsid w:val="000B73FC"/>
    <w:rsid w:val="000E5087"/>
    <w:rsid w:val="0011655A"/>
    <w:rsid w:val="00131A8E"/>
    <w:rsid w:val="0016232E"/>
    <w:rsid w:val="00171699"/>
    <w:rsid w:val="00197AF3"/>
    <w:rsid w:val="001B251E"/>
    <w:rsid w:val="001F60F8"/>
    <w:rsid w:val="0026251A"/>
    <w:rsid w:val="00263DED"/>
    <w:rsid w:val="00275DA4"/>
    <w:rsid w:val="0029081B"/>
    <w:rsid w:val="00291C12"/>
    <w:rsid w:val="00293815"/>
    <w:rsid w:val="002D1E6C"/>
    <w:rsid w:val="002D432E"/>
    <w:rsid w:val="002F4BF8"/>
    <w:rsid w:val="00305A40"/>
    <w:rsid w:val="00375980"/>
    <w:rsid w:val="0037714C"/>
    <w:rsid w:val="003B4840"/>
    <w:rsid w:val="003E623D"/>
    <w:rsid w:val="003F5900"/>
    <w:rsid w:val="0040140C"/>
    <w:rsid w:val="004202CE"/>
    <w:rsid w:val="004368BA"/>
    <w:rsid w:val="00453317"/>
    <w:rsid w:val="00490E7F"/>
    <w:rsid w:val="005238CF"/>
    <w:rsid w:val="00591231"/>
    <w:rsid w:val="0059755C"/>
    <w:rsid w:val="005A4067"/>
    <w:rsid w:val="005B3AB0"/>
    <w:rsid w:val="006261F6"/>
    <w:rsid w:val="006367EA"/>
    <w:rsid w:val="006642DB"/>
    <w:rsid w:val="00670363"/>
    <w:rsid w:val="00675EC7"/>
    <w:rsid w:val="00691388"/>
    <w:rsid w:val="00692E43"/>
    <w:rsid w:val="00694780"/>
    <w:rsid w:val="006A6F4C"/>
    <w:rsid w:val="006A788C"/>
    <w:rsid w:val="006B0364"/>
    <w:rsid w:val="00706BC2"/>
    <w:rsid w:val="0076221E"/>
    <w:rsid w:val="00770FFB"/>
    <w:rsid w:val="00776CC7"/>
    <w:rsid w:val="00776DB9"/>
    <w:rsid w:val="007779FC"/>
    <w:rsid w:val="00795548"/>
    <w:rsid w:val="007A3F30"/>
    <w:rsid w:val="008230BC"/>
    <w:rsid w:val="008324CB"/>
    <w:rsid w:val="0086587D"/>
    <w:rsid w:val="008A40C5"/>
    <w:rsid w:val="008D5E4B"/>
    <w:rsid w:val="008E7C10"/>
    <w:rsid w:val="00912262"/>
    <w:rsid w:val="0092557A"/>
    <w:rsid w:val="009309FC"/>
    <w:rsid w:val="00934A91"/>
    <w:rsid w:val="009458B6"/>
    <w:rsid w:val="00951887"/>
    <w:rsid w:val="009A3F59"/>
    <w:rsid w:val="009B70DB"/>
    <w:rsid w:val="009E2A2C"/>
    <w:rsid w:val="00A34DE5"/>
    <w:rsid w:val="00AA5C63"/>
    <w:rsid w:val="00AC744E"/>
    <w:rsid w:val="00AF3CBE"/>
    <w:rsid w:val="00B23CBA"/>
    <w:rsid w:val="00B269CC"/>
    <w:rsid w:val="00B94569"/>
    <w:rsid w:val="00BC01A7"/>
    <w:rsid w:val="00BD704B"/>
    <w:rsid w:val="00C03F05"/>
    <w:rsid w:val="00C31D20"/>
    <w:rsid w:val="00C407CB"/>
    <w:rsid w:val="00C43B3C"/>
    <w:rsid w:val="00C540B7"/>
    <w:rsid w:val="00C647DF"/>
    <w:rsid w:val="00C70530"/>
    <w:rsid w:val="00C80AFA"/>
    <w:rsid w:val="00D530B6"/>
    <w:rsid w:val="00D6779D"/>
    <w:rsid w:val="00D77B53"/>
    <w:rsid w:val="00D87317"/>
    <w:rsid w:val="00DB0329"/>
    <w:rsid w:val="00DB7264"/>
    <w:rsid w:val="00E31080"/>
    <w:rsid w:val="00E724EE"/>
    <w:rsid w:val="00EA73B0"/>
    <w:rsid w:val="00EB0D7F"/>
    <w:rsid w:val="00ED0A68"/>
    <w:rsid w:val="00ED6273"/>
    <w:rsid w:val="00F035B7"/>
    <w:rsid w:val="00F039AD"/>
    <w:rsid w:val="00F06A1C"/>
    <w:rsid w:val="00F31CCC"/>
    <w:rsid w:val="00F3792A"/>
    <w:rsid w:val="00F828AD"/>
    <w:rsid w:val="00F82EA6"/>
    <w:rsid w:val="00F90048"/>
    <w:rsid w:val="00FB1636"/>
    <w:rsid w:val="00FD2B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F59"/>
    <w:rPr>
      <w:rFonts w:ascii="Times New Roman" w:eastAsia="Times New Roman" w:hAnsi="Times New Roman" w:cs="Times New Roman"/>
      <w:lang w:eastAsia="es-ES_tradnl"/>
    </w:rPr>
  </w:style>
  <w:style w:type="paragraph" w:styleId="Ttulo1">
    <w:name w:val="heading 1"/>
    <w:basedOn w:val="Normal"/>
    <w:link w:val="Ttulo1Car"/>
    <w:uiPriority w:val="9"/>
    <w:qFormat/>
    <w:rsid w:val="00D87317"/>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230B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6251A"/>
    <w:pPr>
      <w:autoSpaceDE w:val="0"/>
      <w:autoSpaceDN w:val="0"/>
      <w:adjustRightInd w:val="0"/>
    </w:pPr>
    <w:rPr>
      <w:rFonts w:ascii="Times New Roman" w:hAnsi="Times New Roman" w:cs="Times New Roman"/>
      <w:color w:val="000000"/>
      <w:lang w:val="es-ES_tradnl"/>
    </w:rPr>
  </w:style>
  <w:style w:type="character" w:styleId="nfasis">
    <w:name w:val="Emphasis"/>
    <w:basedOn w:val="Fuentedeprrafopredeter"/>
    <w:uiPriority w:val="20"/>
    <w:qFormat/>
    <w:rsid w:val="00C407CB"/>
    <w:rPr>
      <w:i/>
      <w:iCs/>
    </w:rPr>
  </w:style>
  <w:style w:type="paragraph" w:styleId="NormalWeb">
    <w:name w:val="Normal (Web)"/>
    <w:basedOn w:val="Normal"/>
    <w:uiPriority w:val="99"/>
    <w:unhideWhenUsed/>
    <w:rsid w:val="002D1E6C"/>
    <w:pPr>
      <w:spacing w:before="100" w:beforeAutospacing="1" w:after="100" w:afterAutospacing="1"/>
    </w:pPr>
  </w:style>
  <w:style w:type="character" w:styleId="Textoennegrita">
    <w:name w:val="Strong"/>
    <w:basedOn w:val="Fuentedeprrafopredeter"/>
    <w:uiPriority w:val="22"/>
    <w:qFormat/>
    <w:rsid w:val="00F31CCC"/>
    <w:rPr>
      <w:b/>
      <w:bCs/>
    </w:rPr>
  </w:style>
  <w:style w:type="character" w:customStyle="1" w:styleId="toctoggle">
    <w:name w:val="toctoggle"/>
    <w:basedOn w:val="Fuentedeprrafopredeter"/>
    <w:rsid w:val="00F31CCC"/>
  </w:style>
  <w:style w:type="character" w:styleId="Hipervnculo">
    <w:name w:val="Hyperlink"/>
    <w:basedOn w:val="Fuentedeprrafopredeter"/>
    <w:uiPriority w:val="99"/>
    <w:semiHidden/>
    <w:unhideWhenUsed/>
    <w:rsid w:val="00F31CCC"/>
    <w:rPr>
      <w:color w:val="0000FF"/>
      <w:u w:val="single"/>
    </w:rPr>
  </w:style>
  <w:style w:type="character" w:customStyle="1" w:styleId="Ttulo1Car">
    <w:name w:val="Título 1 Car"/>
    <w:basedOn w:val="Fuentedeprrafopredeter"/>
    <w:link w:val="Ttulo1"/>
    <w:uiPriority w:val="9"/>
    <w:rsid w:val="00D87317"/>
    <w:rPr>
      <w:rFonts w:ascii="Times New Roman" w:eastAsia="Times New Roman" w:hAnsi="Times New Roman" w:cs="Times New Roman"/>
      <w:b/>
      <w:bCs/>
      <w:kern w:val="36"/>
      <w:sz w:val="48"/>
      <w:szCs w:val="48"/>
      <w:lang w:eastAsia="es-ES_tradnl"/>
    </w:rPr>
  </w:style>
  <w:style w:type="character" w:customStyle="1" w:styleId="Ttulo2Car">
    <w:name w:val="Título 2 Car"/>
    <w:basedOn w:val="Fuentedeprrafopredeter"/>
    <w:link w:val="Ttulo2"/>
    <w:uiPriority w:val="9"/>
    <w:rsid w:val="008230BC"/>
    <w:rPr>
      <w:rFonts w:asciiTheme="majorHAnsi" w:eastAsiaTheme="majorEastAsia" w:hAnsiTheme="majorHAnsi" w:cstheme="majorBidi"/>
      <w:color w:val="2F5496" w:themeColor="accent1" w:themeShade="BF"/>
      <w:sz w:val="26"/>
      <w:szCs w:val="26"/>
      <w:lang w:eastAsia="es-ES_tradnl"/>
    </w:rPr>
  </w:style>
  <w:style w:type="paragraph" w:customStyle="1" w:styleId="unico">
    <w:name w:val="unico"/>
    <w:basedOn w:val="Normal"/>
    <w:rsid w:val="008230BC"/>
    <w:pPr>
      <w:spacing w:before="100" w:beforeAutospacing="1" w:after="100" w:afterAutospacing="1"/>
    </w:pPr>
  </w:style>
  <w:style w:type="paragraph" w:styleId="Encabezado">
    <w:name w:val="header"/>
    <w:basedOn w:val="Normal"/>
    <w:link w:val="EncabezadoCar"/>
    <w:uiPriority w:val="99"/>
    <w:unhideWhenUsed/>
    <w:rsid w:val="002F4BF8"/>
    <w:pPr>
      <w:tabs>
        <w:tab w:val="center" w:pos="4419"/>
        <w:tab w:val="right" w:pos="8838"/>
      </w:tabs>
    </w:pPr>
  </w:style>
  <w:style w:type="character" w:customStyle="1" w:styleId="EncabezadoCar">
    <w:name w:val="Encabezado Car"/>
    <w:basedOn w:val="Fuentedeprrafopredeter"/>
    <w:link w:val="Encabezado"/>
    <w:uiPriority w:val="99"/>
    <w:rsid w:val="002F4BF8"/>
    <w:rPr>
      <w:rFonts w:ascii="Times New Roman" w:eastAsia="Times New Roman" w:hAnsi="Times New Roman" w:cs="Times New Roman"/>
      <w:lang w:eastAsia="es-ES_tradnl"/>
    </w:rPr>
  </w:style>
  <w:style w:type="paragraph" w:styleId="Piedepgina">
    <w:name w:val="footer"/>
    <w:basedOn w:val="Normal"/>
    <w:link w:val="PiedepginaCar"/>
    <w:uiPriority w:val="99"/>
    <w:unhideWhenUsed/>
    <w:rsid w:val="002F4BF8"/>
    <w:pPr>
      <w:tabs>
        <w:tab w:val="center" w:pos="4419"/>
        <w:tab w:val="right" w:pos="8838"/>
      </w:tabs>
    </w:pPr>
  </w:style>
  <w:style w:type="character" w:customStyle="1" w:styleId="PiedepginaCar">
    <w:name w:val="Pie de página Car"/>
    <w:basedOn w:val="Fuentedeprrafopredeter"/>
    <w:link w:val="Piedepgina"/>
    <w:uiPriority w:val="99"/>
    <w:rsid w:val="002F4BF8"/>
    <w:rPr>
      <w:rFonts w:ascii="Times New Roman" w:eastAsia="Times New Roman" w:hAnsi="Times New Roman" w:cs="Times New Roman"/>
      <w:lang w:eastAsia="es-ES_tradnl"/>
    </w:rPr>
  </w:style>
  <w:style w:type="paragraph" w:styleId="Textonotapie">
    <w:name w:val="footnote text"/>
    <w:basedOn w:val="Normal"/>
    <w:link w:val="TextonotapieCar"/>
    <w:uiPriority w:val="99"/>
    <w:semiHidden/>
    <w:unhideWhenUsed/>
    <w:rsid w:val="00C647DF"/>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C647DF"/>
    <w:rPr>
      <w:sz w:val="20"/>
      <w:szCs w:val="20"/>
    </w:rPr>
  </w:style>
  <w:style w:type="character" w:styleId="Refdenotaalpie">
    <w:name w:val="footnote reference"/>
    <w:basedOn w:val="Fuentedeprrafopredeter"/>
    <w:uiPriority w:val="99"/>
    <w:semiHidden/>
    <w:unhideWhenUsed/>
    <w:rsid w:val="00C647DF"/>
    <w:rPr>
      <w:vertAlign w:val="superscript"/>
    </w:rPr>
  </w:style>
  <w:style w:type="paragraph" w:styleId="Epgrafe">
    <w:name w:val="caption"/>
    <w:basedOn w:val="Normal"/>
    <w:next w:val="Normal"/>
    <w:uiPriority w:val="35"/>
    <w:unhideWhenUsed/>
    <w:qFormat/>
    <w:rsid w:val="00C647DF"/>
    <w:pPr>
      <w:widowControl w:val="0"/>
      <w:spacing w:after="200"/>
    </w:pPr>
    <w:rPr>
      <w:rFonts w:ascii="Calibri" w:eastAsia="Calibri" w:hAnsi="Calibri" w:cs="Calibri"/>
      <w:b/>
      <w:bCs/>
      <w:color w:val="4472C4" w:themeColor="accent1"/>
      <w:sz w:val="18"/>
      <w:szCs w:val="18"/>
      <w:lang w:eastAsia="es-CO"/>
    </w:rPr>
  </w:style>
  <w:style w:type="paragraph" w:customStyle="1" w:styleId="parrafo-division">
    <w:name w:val="parrafo-division"/>
    <w:basedOn w:val="Normal"/>
    <w:rsid w:val="0040140C"/>
    <w:pPr>
      <w:spacing w:before="100" w:beforeAutospacing="1" w:after="100" w:afterAutospacing="1"/>
    </w:pPr>
  </w:style>
  <w:style w:type="paragraph" w:styleId="Prrafodelista">
    <w:name w:val="List Paragraph"/>
    <w:basedOn w:val="Normal"/>
    <w:uiPriority w:val="34"/>
    <w:qFormat/>
    <w:rsid w:val="00171699"/>
    <w:pPr>
      <w:ind w:left="720"/>
      <w:contextualSpacing/>
    </w:pPr>
  </w:style>
  <w:style w:type="paragraph" w:styleId="Textodeglobo">
    <w:name w:val="Balloon Text"/>
    <w:basedOn w:val="Normal"/>
    <w:link w:val="TextodegloboCar"/>
    <w:uiPriority w:val="99"/>
    <w:semiHidden/>
    <w:unhideWhenUsed/>
    <w:rsid w:val="003F5900"/>
    <w:rPr>
      <w:rFonts w:ascii="Tahoma" w:hAnsi="Tahoma" w:cs="Tahoma"/>
      <w:sz w:val="16"/>
      <w:szCs w:val="16"/>
    </w:rPr>
  </w:style>
  <w:style w:type="character" w:customStyle="1" w:styleId="TextodegloboCar">
    <w:name w:val="Texto de globo Car"/>
    <w:basedOn w:val="Fuentedeprrafopredeter"/>
    <w:link w:val="Textodeglobo"/>
    <w:uiPriority w:val="99"/>
    <w:semiHidden/>
    <w:rsid w:val="003F5900"/>
    <w:rPr>
      <w:rFonts w:ascii="Tahoma" w:eastAsia="Times New Roman" w:hAnsi="Tahoma" w:cs="Tahoma"/>
      <w:sz w:val="16"/>
      <w:szCs w:val="16"/>
      <w:lang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F59"/>
    <w:rPr>
      <w:rFonts w:ascii="Times New Roman" w:eastAsia="Times New Roman" w:hAnsi="Times New Roman" w:cs="Times New Roman"/>
      <w:lang w:eastAsia="es-ES_tradnl"/>
    </w:rPr>
  </w:style>
  <w:style w:type="paragraph" w:styleId="Ttulo1">
    <w:name w:val="heading 1"/>
    <w:basedOn w:val="Normal"/>
    <w:link w:val="Ttulo1Car"/>
    <w:uiPriority w:val="9"/>
    <w:qFormat/>
    <w:rsid w:val="00D87317"/>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230B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6251A"/>
    <w:pPr>
      <w:autoSpaceDE w:val="0"/>
      <w:autoSpaceDN w:val="0"/>
      <w:adjustRightInd w:val="0"/>
    </w:pPr>
    <w:rPr>
      <w:rFonts w:ascii="Times New Roman" w:hAnsi="Times New Roman" w:cs="Times New Roman"/>
      <w:color w:val="000000"/>
      <w:lang w:val="es-ES_tradnl"/>
    </w:rPr>
  </w:style>
  <w:style w:type="character" w:styleId="nfasis">
    <w:name w:val="Emphasis"/>
    <w:basedOn w:val="Fuentedeprrafopredeter"/>
    <w:uiPriority w:val="20"/>
    <w:qFormat/>
    <w:rsid w:val="00C407CB"/>
    <w:rPr>
      <w:i/>
      <w:iCs/>
    </w:rPr>
  </w:style>
  <w:style w:type="paragraph" w:styleId="NormalWeb">
    <w:name w:val="Normal (Web)"/>
    <w:basedOn w:val="Normal"/>
    <w:uiPriority w:val="99"/>
    <w:unhideWhenUsed/>
    <w:rsid w:val="002D1E6C"/>
    <w:pPr>
      <w:spacing w:before="100" w:beforeAutospacing="1" w:after="100" w:afterAutospacing="1"/>
    </w:pPr>
  </w:style>
  <w:style w:type="character" w:styleId="Textoennegrita">
    <w:name w:val="Strong"/>
    <w:basedOn w:val="Fuentedeprrafopredeter"/>
    <w:uiPriority w:val="22"/>
    <w:qFormat/>
    <w:rsid w:val="00F31CCC"/>
    <w:rPr>
      <w:b/>
      <w:bCs/>
    </w:rPr>
  </w:style>
  <w:style w:type="character" w:customStyle="1" w:styleId="toctoggle">
    <w:name w:val="toctoggle"/>
    <w:basedOn w:val="Fuentedeprrafopredeter"/>
    <w:rsid w:val="00F31CCC"/>
  </w:style>
  <w:style w:type="character" w:styleId="Hipervnculo">
    <w:name w:val="Hyperlink"/>
    <w:basedOn w:val="Fuentedeprrafopredeter"/>
    <w:uiPriority w:val="99"/>
    <w:semiHidden/>
    <w:unhideWhenUsed/>
    <w:rsid w:val="00F31CCC"/>
    <w:rPr>
      <w:color w:val="0000FF"/>
      <w:u w:val="single"/>
    </w:rPr>
  </w:style>
  <w:style w:type="character" w:customStyle="1" w:styleId="Ttulo1Car">
    <w:name w:val="Título 1 Car"/>
    <w:basedOn w:val="Fuentedeprrafopredeter"/>
    <w:link w:val="Ttulo1"/>
    <w:uiPriority w:val="9"/>
    <w:rsid w:val="00D87317"/>
    <w:rPr>
      <w:rFonts w:ascii="Times New Roman" w:eastAsia="Times New Roman" w:hAnsi="Times New Roman" w:cs="Times New Roman"/>
      <w:b/>
      <w:bCs/>
      <w:kern w:val="36"/>
      <w:sz w:val="48"/>
      <w:szCs w:val="48"/>
      <w:lang w:eastAsia="es-ES_tradnl"/>
    </w:rPr>
  </w:style>
  <w:style w:type="character" w:customStyle="1" w:styleId="Ttulo2Car">
    <w:name w:val="Título 2 Car"/>
    <w:basedOn w:val="Fuentedeprrafopredeter"/>
    <w:link w:val="Ttulo2"/>
    <w:uiPriority w:val="9"/>
    <w:rsid w:val="008230BC"/>
    <w:rPr>
      <w:rFonts w:asciiTheme="majorHAnsi" w:eastAsiaTheme="majorEastAsia" w:hAnsiTheme="majorHAnsi" w:cstheme="majorBidi"/>
      <w:color w:val="2F5496" w:themeColor="accent1" w:themeShade="BF"/>
      <w:sz w:val="26"/>
      <w:szCs w:val="26"/>
      <w:lang w:eastAsia="es-ES_tradnl"/>
    </w:rPr>
  </w:style>
  <w:style w:type="paragraph" w:customStyle="1" w:styleId="unico">
    <w:name w:val="unico"/>
    <w:basedOn w:val="Normal"/>
    <w:rsid w:val="008230BC"/>
    <w:pPr>
      <w:spacing w:before="100" w:beforeAutospacing="1" w:after="100" w:afterAutospacing="1"/>
    </w:pPr>
  </w:style>
  <w:style w:type="paragraph" w:styleId="Encabezado">
    <w:name w:val="header"/>
    <w:basedOn w:val="Normal"/>
    <w:link w:val="EncabezadoCar"/>
    <w:uiPriority w:val="99"/>
    <w:unhideWhenUsed/>
    <w:rsid w:val="002F4BF8"/>
    <w:pPr>
      <w:tabs>
        <w:tab w:val="center" w:pos="4419"/>
        <w:tab w:val="right" w:pos="8838"/>
      </w:tabs>
    </w:pPr>
  </w:style>
  <w:style w:type="character" w:customStyle="1" w:styleId="EncabezadoCar">
    <w:name w:val="Encabezado Car"/>
    <w:basedOn w:val="Fuentedeprrafopredeter"/>
    <w:link w:val="Encabezado"/>
    <w:uiPriority w:val="99"/>
    <w:rsid w:val="002F4BF8"/>
    <w:rPr>
      <w:rFonts w:ascii="Times New Roman" w:eastAsia="Times New Roman" w:hAnsi="Times New Roman" w:cs="Times New Roman"/>
      <w:lang w:eastAsia="es-ES_tradnl"/>
    </w:rPr>
  </w:style>
  <w:style w:type="paragraph" w:styleId="Piedepgina">
    <w:name w:val="footer"/>
    <w:basedOn w:val="Normal"/>
    <w:link w:val="PiedepginaCar"/>
    <w:uiPriority w:val="99"/>
    <w:unhideWhenUsed/>
    <w:rsid w:val="002F4BF8"/>
    <w:pPr>
      <w:tabs>
        <w:tab w:val="center" w:pos="4419"/>
        <w:tab w:val="right" w:pos="8838"/>
      </w:tabs>
    </w:pPr>
  </w:style>
  <w:style w:type="character" w:customStyle="1" w:styleId="PiedepginaCar">
    <w:name w:val="Pie de página Car"/>
    <w:basedOn w:val="Fuentedeprrafopredeter"/>
    <w:link w:val="Piedepgina"/>
    <w:uiPriority w:val="99"/>
    <w:rsid w:val="002F4BF8"/>
    <w:rPr>
      <w:rFonts w:ascii="Times New Roman" w:eastAsia="Times New Roman" w:hAnsi="Times New Roman" w:cs="Times New Roman"/>
      <w:lang w:eastAsia="es-ES_tradnl"/>
    </w:rPr>
  </w:style>
  <w:style w:type="paragraph" w:styleId="Textonotapie">
    <w:name w:val="footnote text"/>
    <w:basedOn w:val="Normal"/>
    <w:link w:val="TextonotapieCar"/>
    <w:uiPriority w:val="99"/>
    <w:semiHidden/>
    <w:unhideWhenUsed/>
    <w:rsid w:val="00C647DF"/>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C647DF"/>
    <w:rPr>
      <w:sz w:val="20"/>
      <w:szCs w:val="20"/>
    </w:rPr>
  </w:style>
  <w:style w:type="character" w:styleId="Refdenotaalpie">
    <w:name w:val="footnote reference"/>
    <w:basedOn w:val="Fuentedeprrafopredeter"/>
    <w:uiPriority w:val="99"/>
    <w:semiHidden/>
    <w:unhideWhenUsed/>
    <w:rsid w:val="00C647DF"/>
    <w:rPr>
      <w:vertAlign w:val="superscript"/>
    </w:rPr>
  </w:style>
  <w:style w:type="paragraph" w:styleId="Epgrafe">
    <w:name w:val="caption"/>
    <w:basedOn w:val="Normal"/>
    <w:next w:val="Normal"/>
    <w:uiPriority w:val="35"/>
    <w:unhideWhenUsed/>
    <w:qFormat/>
    <w:rsid w:val="00C647DF"/>
    <w:pPr>
      <w:widowControl w:val="0"/>
      <w:spacing w:after="200"/>
    </w:pPr>
    <w:rPr>
      <w:rFonts w:ascii="Calibri" w:eastAsia="Calibri" w:hAnsi="Calibri" w:cs="Calibri"/>
      <w:b/>
      <w:bCs/>
      <w:color w:val="4472C4" w:themeColor="accent1"/>
      <w:sz w:val="18"/>
      <w:szCs w:val="18"/>
      <w:lang w:eastAsia="es-CO"/>
    </w:rPr>
  </w:style>
  <w:style w:type="paragraph" w:customStyle="1" w:styleId="parrafo-division">
    <w:name w:val="parrafo-division"/>
    <w:basedOn w:val="Normal"/>
    <w:rsid w:val="0040140C"/>
    <w:pPr>
      <w:spacing w:before="100" w:beforeAutospacing="1" w:after="100" w:afterAutospacing="1"/>
    </w:pPr>
  </w:style>
  <w:style w:type="paragraph" w:styleId="Prrafodelista">
    <w:name w:val="List Paragraph"/>
    <w:basedOn w:val="Normal"/>
    <w:uiPriority w:val="34"/>
    <w:qFormat/>
    <w:rsid w:val="00171699"/>
    <w:pPr>
      <w:ind w:left="720"/>
      <w:contextualSpacing/>
    </w:pPr>
  </w:style>
  <w:style w:type="paragraph" w:styleId="Textodeglobo">
    <w:name w:val="Balloon Text"/>
    <w:basedOn w:val="Normal"/>
    <w:link w:val="TextodegloboCar"/>
    <w:uiPriority w:val="99"/>
    <w:semiHidden/>
    <w:unhideWhenUsed/>
    <w:rsid w:val="003F5900"/>
    <w:rPr>
      <w:rFonts w:ascii="Tahoma" w:hAnsi="Tahoma" w:cs="Tahoma"/>
      <w:sz w:val="16"/>
      <w:szCs w:val="16"/>
    </w:rPr>
  </w:style>
  <w:style w:type="character" w:customStyle="1" w:styleId="TextodegloboCar">
    <w:name w:val="Texto de globo Car"/>
    <w:basedOn w:val="Fuentedeprrafopredeter"/>
    <w:link w:val="Textodeglobo"/>
    <w:uiPriority w:val="99"/>
    <w:semiHidden/>
    <w:rsid w:val="003F5900"/>
    <w:rPr>
      <w:rFonts w:ascii="Tahoma" w:eastAsia="Times New Roman" w:hAnsi="Tahoma" w:cs="Tahoma"/>
      <w:sz w:val="16"/>
      <w:szCs w:val="16"/>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89236">
      <w:bodyDiv w:val="1"/>
      <w:marLeft w:val="0"/>
      <w:marRight w:val="0"/>
      <w:marTop w:val="0"/>
      <w:marBottom w:val="0"/>
      <w:divBdr>
        <w:top w:val="none" w:sz="0" w:space="0" w:color="auto"/>
        <w:left w:val="none" w:sz="0" w:space="0" w:color="auto"/>
        <w:bottom w:val="none" w:sz="0" w:space="0" w:color="auto"/>
        <w:right w:val="none" w:sz="0" w:space="0" w:color="auto"/>
      </w:divBdr>
    </w:div>
    <w:div w:id="87583619">
      <w:bodyDiv w:val="1"/>
      <w:marLeft w:val="0"/>
      <w:marRight w:val="0"/>
      <w:marTop w:val="0"/>
      <w:marBottom w:val="0"/>
      <w:divBdr>
        <w:top w:val="none" w:sz="0" w:space="0" w:color="auto"/>
        <w:left w:val="none" w:sz="0" w:space="0" w:color="auto"/>
        <w:bottom w:val="none" w:sz="0" w:space="0" w:color="auto"/>
        <w:right w:val="none" w:sz="0" w:space="0" w:color="auto"/>
      </w:divBdr>
    </w:div>
    <w:div w:id="99490327">
      <w:bodyDiv w:val="1"/>
      <w:marLeft w:val="0"/>
      <w:marRight w:val="0"/>
      <w:marTop w:val="0"/>
      <w:marBottom w:val="0"/>
      <w:divBdr>
        <w:top w:val="none" w:sz="0" w:space="0" w:color="auto"/>
        <w:left w:val="none" w:sz="0" w:space="0" w:color="auto"/>
        <w:bottom w:val="none" w:sz="0" w:space="0" w:color="auto"/>
        <w:right w:val="none" w:sz="0" w:space="0" w:color="auto"/>
      </w:divBdr>
    </w:div>
    <w:div w:id="181944922">
      <w:bodyDiv w:val="1"/>
      <w:marLeft w:val="0"/>
      <w:marRight w:val="0"/>
      <w:marTop w:val="0"/>
      <w:marBottom w:val="0"/>
      <w:divBdr>
        <w:top w:val="none" w:sz="0" w:space="0" w:color="auto"/>
        <w:left w:val="none" w:sz="0" w:space="0" w:color="auto"/>
        <w:bottom w:val="none" w:sz="0" w:space="0" w:color="auto"/>
        <w:right w:val="none" w:sz="0" w:space="0" w:color="auto"/>
      </w:divBdr>
    </w:div>
    <w:div w:id="184710833">
      <w:bodyDiv w:val="1"/>
      <w:marLeft w:val="0"/>
      <w:marRight w:val="0"/>
      <w:marTop w:val="0"/>
      <w:marBottom w:val="0"/>
      <w:divBdr>
        <w:top w:val="none" w:sz="0" w:space="0" w:color="auto"/>
        <w:left w:val="none" w:sz="0" w:space="0" w:color="auto"/>
        <w:bottom w:val="none" w:sz="0" w:space="0" w:color="auto"/>
        <w:right w:val="none" w:sz="0" w:space="0" w:color="auto"/>
      </w:divBdr>
    </w:div>
    <w:div w:id="208416002">
      <w:bodyDiv w:val="1"/>
      <w:marLeft w:val="0"/>
      <w:marRight w:val="0"/>
      <w:marTop w:val="0"/>
      <w:marBottom w:val="0"/>
      <w:divBdr>
        <w:top w:val="none" w:sz="0" w:space="0" w:color="auto"/>
        <w:left w:val="none" w:sz="0" w:space="0" w:color="auto"/>
        <w:bottom w:val="none" w:sz="0" w:space="0" w:color="auto"/>
        <w:right w:val="none" w:sz="0" w:space="0" w:color="auto"/>
      </w:divBdr>
    </w:div>
    <w:div w:id="218516640">
      <w:bodyDiv w:val="1"/>
      <w:marLeft w:val="0"/>
      <w:marRight w:val="0"/>
      <w:marTop w:val="0"/>
      <w:marBottom w:val="0"/>
      <w:divBdr>
        <w:top w:val="none" w:sz="0" w:space="0" w:color="auto"/>
        <w:left w:val="none" w:sz="0" w:space="0" w:color="auto"/>
        <w:bottom w:val="none" w:sz="0" w:space="0" w:color="auto"/>
        <w:right w:val="none" w:sz="0" w:space="0" w:color="auto"/>
      </w:divBdr>
    </w:div>
    <w:div w:id="265770436">
      <w:bodyDiv w:val="1"/>
      <w:marLeft w:val="0"/>
      <w:marRight w:val="0"/>
      <w:marTop w:val="0"/>
      <w:marBottom w:val="0"/>
      <w:divBdr>
        <w:top w:val="none" w:sz="0" w:space="0" w:color="auto"/>
        <w:left w:val="none" w:sz="0" w:space="0" w:color="auto"/>
        <w:bottom w:val="none" w:sz="0" w:space="0" w:color="auto"/>
        <w:right w:val="none" w:sz="0" w:space="0" w:color="auto"/>
      </w:divBdr>
    </w:div>
    <w:div w:id="277569299">
      <w:bodyDiv w:val="1"/>
      <w:marLeft w:val="0"/>
      <w:marRight w:val="0"/>
      <w:marTop w:val="0"/>
      <w:marBottom w:val="0"/>
      <w:divBdr>
        <w:top w:val="none" w:sz="0" w:space="0" w:color="auto"/>
        <w:left w:val="none" w:sz="0" w:space="0" w:color="auto"/>
        <w:bottom w:val="none" w:sz="0" w:space="0" w:color="auto"/>
        <w:right w:val="none" w:sz="0" w:space="0" w:color="auto"/>
      </w:divBdr>
    </w:div>
    <w:div w:id="286203175">
      <w:bodyDiv w:val="1"/>
      <w:marLeft w:val="0"/>
      <w:marRight w:val="0"/>
      <w:marTop w:val="0"/>
      <w:marBottom w:val="0"/>
      <w:divBdr>
        <w:top w:val="none" w:sz="0" w:space="0" w:color="auto"/>
        <w:left w:val="none" w:sz="0" w:space="0" w:color="auto"/>
        <w:bottom w:val="none" w:sz="0" w:space="0" w:color="auto"/>
        <w:right w:val="none" w:sz="0" w:space="0" w:color="auto"/>
      </w:divBdr>
    </w:div>
    <w:div w:id="291525120">
      <w:bodyDiv w:val="1"/>
      <w:marLeft w:val="0"/>
      <w:marRight w:val="0"/>
      <w:marTop w:val="0"/>
      <w:marBottom w:val="0"/>
      <w:divBdr>
        <w:top w:val="none" w:sz="0" w:space="0" w:color="auto"/>
        <w:left w:val="none" w:sz="0" w:space="0" w:color="auto"/>
        <w:bottom w:val="none" w:sz="0" w:space="0" w:color="auto"/>
        <w:right w:val="none" w:sz="0" w:space="0" w:color="auto"/>
      </w:divBdr>
    </w:div>
    <w:div w:id="296226393">
      <w:bodyDiv w:val="1"/>
      <w:marLeft w:val="0"/>
      <w:marRight w:val="0"/>
      <w:marTop w:val="0"/>
      <w:marBottom w:val="0"/>
      <w:divBdr>
        <w:top w:val="none" w:sz="0" w:space="0" w:color="auto"/>
        <w:left w:val="none" w:sz="0" w:space="0" w:color="auto"/>
        <w:bottom w:val="none" w:sz="0" w:space="0" w:color="auto"/>
        <w:right w:val="none" w:sz="0" w:space="0" w:color="auto"/>
      </w:divBdr>
    </w:div>
    <w:div w:id="301886803">
      <w:bodyDiv w:val="1"/>
      <w:marLeft w:val="0"/>
      <w:marRight w:val="0"/>
      <w:marTop w:val="0"/>
      <w:marBottom w:val="0"/>
      <w:divBdr>
        <w:top w:val="none" w:sz="0" w:space="0" w:color="auto"/>
        <w:left w:val="none" w:sz="0" w:space="0" w:color="auto"/>
        <w:bottom w:val="none" w:sz="0" w:space="0" w:color="auto"/>
        <w:right w:val="none" w:sz="0" w:space="0" w:color="auto"/>
      </w:divBdr>
    </w:div>
    <w:div w:id="310140398">
      <w:bodyDiv w:val="1"/>
      <w:marLeft w:val="0"/>
      <w:marRight w:val="0"/>
      <w:marTop w:val="0"/>
      <w:marBottom w:val="0"/>
      <w:divBdr>
        <w:top w:val="none" w:sz="0" w:space="0" w:color="auto"/>
        <w:left w:val="none" w:sz="0" w:space="0" w:color="auto"/>
        <w:bottom w:val="none" w:sz="0" w:space="0" w:color="auto"/>
        <w:right w:val="none" w:sz="0" w:space="0" w:color="auto"/>
      </w:divBdr>
    </w:div>
    <w:div w:id="329673098">
      <w:bodyDiv w:val="1"/>
      <w:marLeft w:val="0"/>
      <w:marRight w:val="0"/>
      <w:marTop w:val="0"/>
      <w:marBottom w:val="0"/>
      <w:divBdr>
        <w:top w:val="none" w:sz="0" w:space="0" w:color="auto"/>
        <w:left w:val="none" w:sz="0" w:space="0" w:color="auto"/>
        <w:bottom w:val="none" w:sz="0" w:space="0" w:color="auto"/>
        <w:right w:val="none" w:sz="0" w:space="0" w:color="auto"/>
      </w:divBdr>
    </w:div>
    <w:div w:id="353462024">
      <w:bodyDiv w:val="1"/>
      <w:marLeft w:val="0"/>
      <w:marRight w:val="0"/>
      <w:marTop w:val="0"/>
      <w:marBottom w:val="0"/>
      <w:divBdr>
        <w:top w:val="none" w:sz="0" w:space="0" w:color="auto"/>
        <w:left w:val="none" w:sz="0" w:space="0" w:color="auto"/>
        <w:bottom w:val="none" w:sz="0" w:space="0" w:color="auto"/>
        <w:right w:val="none" w:sz="0" w:space="0" w:color="auto"/>
      </w:divBdr>
    </w:div>
    <w:div w:id="355623044">
      <w:bodyDiv w:val="1"/>
      <w:marLeft w:val="0"/>
      <w:marRight w:val="0"/>
      <w:marTop w:val="0"/>
      <w:marBottom w:val="0"/>
      <w:divBdr>
        <w:top w:val="none" w:sz="0" w:space="0" w:color="auto"/>
        <w:left w:val="none" w:sz="0" w:space="0" w:color="auto"/>
        <w:bottom w:val="none" w:sz="0" w:space="0" w:color="auto"/>
        <w:right w:val="none" w:sz="0" w:space="0" w:color="auto"/>
      </w:divBdr>
      <w:divsChild>
        <w:div w:id="1733189457">
          <w:marLeft w:val="0"/>
          <w:marRight w:val="0"/>
          <w:marTop w:val="300"/>
          <w:marBottom w:val="300"/>
          <w:divBdr>
            <w:top w:val="none" w:sz="0" w:space="0" w:color="auto"/>
            <w:left w:val="none" w:sz="0" w:space="0" w:color="auto"/>
            <w:bottom w:val="none" w:sz="0" w:space="0" w:color="auto"/>
            <w:right w:val="none" w:sz="0" w:space="0" w:color="auto"/>
          </w:divBdr>
        </w:div>
        <w:div w:id="81685799">
          <w:marLeft w:val="0"/>
          <w:marRight w:val="0"/>
          <w:marTop w:val="0"/>
          <w:marBottom w:val="0"/>
          <w:divBdr>
            <w:top w:val="none" w:sz="0" w:space="0" w:color="auto"/>
            <w:left w:val="none" w:sz="0" w:space="0" w:color="auto"/>
            <w:bottom w:val="none" w:sz="0" w:space="0" w:color="auto"/>
            <w:right w:val="none" w:sz="0" w:space="0" w:color="auto"/>
          </w:divBdr>
          <w:divsChild>
            <w:div w:id="99321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32024">
      <w:bodyDiv w:val="1"/>
      <w:marLeft w:val="0"/>
      <w:marRight w:val="0"/>
      <w:marTop w:val="0"/>
      <w:marBottom w:val="0"/>
      <w:divBdr>
        <w:top w:val="none" w:sz="0" w:space="0" w:color="auto"/>
        <w:left w:val="none" w:sz="0" w:space="0" w:color="auto"/>
        <w:bottom w:val="none" w:sz="0" w:space="0" w:color="auto"/>
        <w:right w:val="none" w:sz="0" w:space="0" w:color="auto"/>
      </w:divBdr>
    </w:div>
    <w:div w:id="407968721">
      <w:bodyDiv w:val="1"/>
      <w:marLeft w:val="0"/>
      <w:marRight w:val="0"/>
      <w:marTop w:val="0"/>
      <w:marBottom w:val="0"/>
      <w:divBdr>
        <w:top w:val="none" w:sz="0" w:space="0" w:color="auto"/>
        <w:left w:val="none" w:sz="0" w:space="0" w:color="auto"/>
        <w:bottom w:val="none" w:sz="0" w:space="0" w:color="auto"/>
        <w:right w:val="none" w:sz="0" w:space="0" w:color="auto"/>
      </w:divBdr>
    </w:div>
    <w:div w:id="434713325">
      <w:bodyDiv w:val="1"/>
      <w:marLeft w:val="0"/>
      <w:marRight w:val="0"/>
      <w:marTop w:val="0"/>
      <w:marBottom w:val="0"/>
      <w:divBdr>
        <w:top w:val="none" w:sz="0" w:space="0" w:color="auto"/>
        <w:left w:val="none" w:sz="0" w:space="0" w:color="auto"/>
        <w:bottom w:val="none" w:sz="0" w:space="0" w:color="auto"/>
        <w:right w:val="none" w:sz="0" w:space="0" w:color="auto"/>
      </w:divBdr>
    </w:div>
    <w:div w:id="460423046">
      <w:bodyDiv w:val="1"/>
      <w:marLeft w:val="0"/>
      <w:marRight w:val="0"/>
      <w:marTop w:val="0"/>
      <w:marBottom w:val="0"/>
      <w:divBdr>
        <w:top w:val="none" w:sz="0" w:space="0" w:color="auto"/>
        <w:left w:val="none" w:sz="0" w:space="0" w:color="auto"/>
        <w:bottom w:val="none" w:sz="0" w:space="0" w:color="auto"/>
        <w:right w:val="none" w:sz="0" w:space="0" w:color="auto"/>
      </w:divBdr>
    </w:div>
    <w:div w:id="476385634">
      <w:bodyDiv w:val="1"/>
      <w:marLeft w:val="0"/>
      <w:marRight w:val="0"/>
      <w:marTop w:val="0"/>
      <w:marBottom w:val="0"/>
      <w:divBdr>
        <w:top w:val="none" w:sz="0" w:space="0" w:color="auto"/>
        <w:left w:val="none" w:sz="0" w:space="0" w:color="auto"/>
        <w:bottom w:val="none" w:sz="0" w:space="0" w:color="auto"/>
        <w:right w:val="none" w:sz="0" w:space="0" w:color="auto"/>
      </w:divBdr>
    </w:div>
    <w:div w:id="506754288">
      <w:bodyDiv w:val="1"/>
      <w:marLeft w:val="0"/>
      <w:marRight w:val="0"/>
      <w:marTop w:val="0"/>
      <w:marBottom w:val="0"/>
      <w:divBdr>
        <w:top w:val="none" w:sz="0" w:space="0" w:color="auto"/>
        <w:left w:val="none" w:sz="0" w:space="0" w:color="auto"/>
        <w:bottom w:val="none" w:sz="0" w:space="0" w:color="auto"/>
        <w:right w:val="none" w:sz="0" w:space="0" w:color="auto"/>
      </w:divBdr>
    </w:div>
    <w:div w:id="518129223">
      <w:bodyDiv w:val="1"/>
      <w:marLeft w:val="0"/>
      <w:marRight w:val="0"/>
      <w:marTop w:val="0"/>
      <w:marBottom w:val="0"/>
      <w:divBdr>
        <w:top w:val="none" w:sz="0" w:space="0" w:color="auto"/>
        <w:left w:val="none" w:sz="0" w:space="0" w:color="auto"/>
        <w:bottom w:val="none" w:sz="0" w:space="0" w:color="auto"/>
        <w:right w:val="none" w:sz="0" w:space="0" w:color="auto"/>
      </w:divBdr>
    </w:div>
    <w:div w:id="551695540">
      <w:bodyDiv w:val="1"/>
      <w:marLeft w:val="0"/>
      <w:marRight w:val="0"/>
      <w:marTop w:val="0"/>
      <w:marBottom w:val="0"/>
      <w:divBdr>
        <w:top w:val="none" w:sz="0" w:space="0" w:color="auto"/>
        <w:left w:val="none" w:sz="0" w:space="0" w:color="auto"/>
        <w:bottom w:val="none" w:sz="0" w:space="0" w:color="auto"/>
        <w:right w:val="none" w:sz="0" w:space="0" w:color="auto"/>
      </w:divBdr>
    </w:div>
    <w:div w:id="582378143">
      <w:bodyDiv w:val="1"/>
      <w:marLeft w:val="0"/>
      <w:marRight w:val="0"/>
      <w:marTop w:val="0"/>
      <w:marBottom w:val="0"/>
      <w:divBdr>
        <w:top w:val="none" w:sz="0" w:space="0" w:color="auto"/>
        <w:left w:val="none" w:sz="0" w:space="0" w:color="auto"/>
        <w:bottom w:val="none" w:sz="0" w:space="0" w:color="auto"/>
        <w:right w:val="none" w:sz="0" w:space="0" w:color="auto"/>
      </w:divBdr>
    </w:div>
    <w:div w:id="586035634">
      <w:bodyDiv w:val="1"/>
      <w:marLeft w:val="0"/>
      <w:marRight w:val="0"/>
      <w:marTop w:val="0"/>
      <w:marBottom w:val="0"/>
      <w:divBdr>
        <w:top w:val="none" w:sz="0" w:space="0" w:color="auto"/>
        <w:left w:val="none" w:sz="0" w:space="0" w:color="auto"/>
        <w:bottom w:val="none" w:sz="0" w:space="0" w:color="auto"/>
        <w:right w:val="none" w:sz="0" w:space="0" w:color="auto"/>
      </w:divBdr>
    </w:div>
    <w:div w:id="590352427">
      <w:bodyDiv w:val="1"/>
      <w:marLeft w:val="0"/>
      <w:marRight w:val="0"/>
      <w:marTop w:val="0"/>
      <w:marBottom w:val="0"/>
      <w:divBdr>
        <w:top w:val="none" w:sz="0" w:space="0" w:color="auto"/>
        <w:left w:val="none" w:sz="0" w:space="0" w:color="auto"/>
        <w:bottom w:val="none" w:sz="0" w:space="0" w:color="auto"/>
        <w:right w:val="none" w:sz="0" w:space="0" w:color="auto"/>
      </w:divBdr>
    </w:div>
    <w:div w:id="657535061">
      <w:bodyDiv w:val="1"/>
      <w:marLeft w:val="0"/>
      <w:marRight w:val="0"/>
      <w:marTop w:val="0"/>
      <w:marBottom w:val="0"/>
      <w:divBdr>
        <w:top w:val="none" w:sz="0" w:space="0" w:color="auto"/>
        <w:left w:val="none" w:sz="0" w:space="0" w:color="auto"/>
        <w:bottom w:val="none" w:sz="0" w:space="0" w:color="auto"/>
        <w:right w:val="none" w:sz="0" w:space="0" w:color="auto"/>
      </w:divBdr>
    </w:div>
    <w:div w:id="715810802">
      <w:bodyDiv w:val="1"/>
      <w:marLeft w:val="0"/>
      <w:marRight w:val="0"/>
      <w:marTop w:val="0"/>
      <w:marBottom w:val="0"/>
      <w:divBdr>
        <w:top w:val="none" w:sz="0" w:space="0" w:color="auto"/>
        <w:left w:val="none" w:sz="0" w:space="0" w:color="auto"/>
        <w:bottom w:val="none" w:sz="0" w:space="0" w:color="auto"/>
        <w:right w:val="none" w:sz="0" w:space="0" w:color="auto"/>
      </w:divBdr>
    </w:div>
    <w:div w:id="856430653">
      <w:bodyDiv w:val="1"/>
      <w:marLeft w:val="0"/>
      <w:marRight w:val="0"/>
      <w:marTop w:val="0"/>
      <w:marBottom w:val="0"/>
      <w:divBdr>
        <w:top w:val="none" w:sz="0" w:space="0" w:color="auto"/>
        <w:left w:val="none" w:sz="0" w:space="0" w:color="auto"/>
        <w:bottom w:val="none" w:sz="0" w:space="0" w:color="auto"/>
        <w:right w:val="none" w:sz="0" w:space="0" w:color="auto"/>
      </w:divBdr>
    </w:div>
    <w:div w:id="859583014">
      <w:bodyDiv w:val="1"/>
      <w:marLeft w:val="0"/>
      <w:marRight w:val="0"/>
      <w:marTop w:val="0"/>
      <w:marBottom w:val="0"/>
      <w:divBdr>
        <w:top w:val="none" w:sz="0" w:space="0" w:color="auto"/>
        <w:left w:val="none" w:sz="0" w:space="0" w:color="auto"/>
        <w:bottom w:val="none" w:sz="0" w:space="0" w:color="auto"/>
        <w:right w:val="none" w:sz="0" w:space="0" w:color="auto"/>
      </w:divBdr>
    </w:div>
    <w:div w:id="883909908">
      <w:bodyDiv w:val="1"/>
      <w:marLeft w:val="0"/>
      <w:marRight w:val="0"/>
      <w:marTop w:val="0"/>
      <w:marBottom w:val="0"/>
      <w:divBdr>
        <w:top w:val="none" w:sz="0" w:space="0" w:color="auto"/>
        <w:left w:val="none" w:sz="0" w:space="0" w:color="auto"/>
        <w:bottom w:val="none" w:sz="0" w:space="0" w:color="auto"/>
        <w:right w:val="none" w:sz="0" w:space="0" w:color="auto"/>
      </w:divBdr>
    </w:div>
    <w:div w:id="912202825">
      <w:bodyDiv w:val="1"/>
      <w:marLeft w:val="0"/>
      <w:marRight w:val="0"/>
      <w:marTop w:val="0"/>
      <w:marBottom w:val="0"/>
      <w:divBdr>
        <w:top w:val="none" w:sz="0" w:space="0" w:color="auto"/>
        <w:left w:val="none" w:sz="0" w:space="0" w:color="auto"/>
        <w:bottom w:val="none" w:sz="0" w:space="0" w:color="auto"/>
        <w:right w:val="none" w:sz="0" w:space="0" w:color="auto"/>
      </w:divBdr>
    </w:div>
    <w:div w:id="920531476">
      <w:bodyDiv w:val="1"/>
      <w:marLeft w:val="0"/>
      <w:marRight w:val="0"/>
      <w:marTop w:val="0"/>
      <w:marBottom w:val="0"/>
      <w:divBdr>
        <w:top w:val="none" w:sz="0" w:space="0" w:color="auto"/>
        <w:left w:val="none" w:sz="0" w:space="0" w:color="auto"/>
        <w:bottom w:val="none" w:sz="0" w:space="0" w:color="auto"/>
        <w:right w:val="none" w:sz="0" w:space="0" w:color="auto"/>
      </w:divBdr>
    </w:div>
    <w:div w:id="937451072">
      <w:bodyDiv w:val="1"/>
      <w:marLeft w:val="0"/>
      <w:marRight w:val="0"/>
      <w:marTop w:val="0"/>
      <w:marBottom w:val="0"/>
      <w:divBdr>
        <w:top w:val="none" w:sz="0" w:space="0" w:color="auto"/>
        <w:left w:val="none" w:sz="0" w:space="0" w:color="auto"/>
        <w:bottom w:val="none" w:sz="0" w:space="0" w:color="auto"/>
        <w:right w:val="none" w:sz="0" w:space="0" w:color="auto"/>
      </w:divBdr>
    </w:div>
    <w:div w:id="941375976">
      <w:bodyDiv w:val="1"/>
      <w:marLeft w:val="0"/>
      <w:marRight w:val="0"/>
      <w:marTop w:val="0"/>
      <w:marBottom w:val="0"/>
      <w:divBdr>
        <w:top w:val="none" w:sz="0" w:space="0" w:color="auto"/>
        <w:left w:val="none" w:sz="0" w:space="0" w:color="auto"/>
        <w:bottom w:val="none" w:sz="0" w:space="0" w:color="auto"/>
        <w:right w:val="none" w:sz="0" w:space="0" w:color="auto"/>
      </w:divBdr>
    </w:div>
    <w:div w:id="977301832">
      <w:bodyDiv w:val="1"/>
      <w:marLeft w:val="0"/>
      <w:marRight w:val="0"/>
      <w:marTop w:val="0"/>
      <w:marBottom w:val="0"/>
      <w:divBdr>
        <w:top w:val="none" w:sz="0" w:space="0" w:color="auto"/>
        <w:left w:val="none" w:sz="0" w:space="0" w:color="auto"/>
        <w:bottom w:val="none" w:sz="0" w:space="0" w:color="auto"/>
        <w:right w:val="none" w:sz="0" w:space="0" w:color="auto"/>
      </w:divBdr>
    </w:div>
    <w:div w:id="991762655">
      <w:bodyDiv w:val="1"/>
      <w:marLeft w:val="0"/>
      <w:marRight w:val="0"/>
      <w:marTop w:val="0"/>
      <w:marBottom w:val="0"/>
      <w:divBdr>
        <w:top w:val="none" w:sz="0" w:space="0" w:color="auto"/>
        <w:left w:val="none" w:sz="0" w:space="0" w:color="auto"/>
        <w:bottom w:val="none" w:sz="0" w:space="0" w:color="auto"/>
        <w:right w:val="none" w:sz="0" w:space="0" w:color="auto"/>
      </w:divBdr>
    </w:div>
    <w:div w:id="1010252212">
      <w:bodyDiv w:val="1"/>
      <w:marLeft w:val="0"/>
      <w:marRight w:val="0"/>
      <w:marTop w:val="0"/>
      <w:marBottom w:val="0"/>
      <w:divBdr>
        <w:top w:val="none" w:sz="0" w:space="0" w:color="auto"/>
        <w:left w:val="none" w:sz="0" w:space="0" w:color="auto"/>
        <w:bottom w:val="none" w:sz="0" w:space="0" w:color="auto"/>
        <w:right w:val="none" w:sz="0" w:space="0" w:color="auto"/>
      </w:divBdr>
    </w:div>
    <w:div w:id="1024013390">
      <w:bodyDiv w:val="1"/>
      <w:marLeft w:val="0"/>
      <w:marRight w:val="0"/>
      <w:marTop w:val="0"/>
      <w:marBottom w:val="0"/>
      <w:divBdr>
        <w:top w:val="none" w:sz="0" w:space="0" w:color="auto"/>
        <w:left w:val="none" w:sz="0" w:space="0" w:color="auto"/>
        <w:bottom w:val="none" w:sz="0" w:space="0" w:color="auto"/>
        <w:right w:val="none" w:sz="0" w:space="0" w:color="auto"/>
      </w:divBdr>
    </w:div>
    <w:div w:id="1082221987">
      <w:bodyDiv w:val="1"/>
      <w:marLeft w:val="0"/>
      <w:marRight w:val="0"/>
      <w:marTop w:val="0"/>
      <w:marBottom w:val="0"/>
      <w:divBdr>
        <w:top w:val="none" w:sz="0" w:space="0" w:color="auto"/>
        <w:left w:val="none" w:sz="0" w:space="0" w:color="auto"/>
        <w:bottom w:val="none" w:sz="0" w:space="0" w:color="auto"/>
        <w:right w:val="none" w:sz="0" w:space="0" w:color="auto"/>
      </w:divBdr>
    </w:div>
    <w:div w:id="1085683241">
      <w:bodyDiv w:val="1"/>
      <w:marLeft w:val="0"/>
      <w:marRight w:val="0"/>
      <w:marTop w:val="0"/>
      <w:marBottom w:val="0"/>
      <w:divBdr>
        <w:top w:val="none" w:sz="0" w:space="0" w:color="auto"/>
        <w:left w:val="none" w:sz="0" w:space="0" w:color="auto"/>
        <w:bottom w:val="none" w:sz="0" w:space="0" w:color="auto"/>
        <w:right w:val="none" w:sz="0" w:space="0" w:color="auto"/>
      </w:divBdr>
    </w:div>
    <w:div w:id="1155994091">
      <w:bodyDiv w:val="1"/>
      <w:marLeft w:val="0"/>
      <w:marRight w:val="0"/>
      <w:marTop w:val="0"/>
      <w:marBottom w:val="0"/>
      <w:divBdr>
        <w:top w:val="none" w:sz="0" w:space="0" w:color="auto"/>
        <w:left w:val="none" w:sz="0" w:space="0" w:color="auto"/>
        <w:bottom w:val="none" w:sz="0" w:space="0" w:color="auto"/>
        <w:right w:val="none" w:sz="0" w:space="0" w:color="auto"/>
      </w:divBdr>
    </w:div>
    <w:div w:id="1164861127">
      <w:bodyDiv w:val="1"/>
      <w:marLeft w:val="0"/>
      <w:marRight w:val="0"/>
      <w:marTop w:val="0"/>
      <w:marBottom w:val="0"/>
      <w:divBdr>
        <w:top w:val="none" w:sz="0" w:space="0" w:color="auto"/>
        <w:left w:val="none" w:sz="0" w:space="0" w:color="auto"/>
        <w:bottom w:val="none" w:sz="0" w:space="0" w:color="auto"/>
        <w:right w:val="none" w:sz="0" w:space="0" w:color="auto"/>
      </w:divBdr>
    </w:div>
    <w:div w:id="1208375615">
      <w:bodyDiv w:val="1"/>
      <w:marLeft w:val="0"/>
      <w:marRight w:val="0"/>
      <w:marTop w:val="0"/>
      <w:marBottom w:val="0"/>
      <w:divBdr>
        <w:top w:val="none" w:sz="0" w:space="0" w:color="auto"/>
        <w:left w:val="none" w:sz="0" w:space="0" w:color="auto"/>
        <w:bottom w:val="none" w:sz="0" w:space="0" w:color="auto"/>
        <w:right w:val="none" w:sz="0" w:space="0" w:color="auto"/>
      </w:divBdr>
    </w:div>
    <w:div w:id="1257713503">
      <w:bodyDiv w:val="1"/>
      <w:marLeft w:val="0"/>
      <w:marRight w:val="0"/>
      <w:marTop w:val="0"/>
      <w:marBottom w:val="0"/>
      <w:divBdr>
        <w:top w:val="none" w:sz="0" w:space="0" w:color="auto"/>
        <w:left w:val="none" w:sz="0" w:space="0" w:color="auto"/>
        <w:bottom w:val="none" w:sz="0" w:space="0" w:color="auto"/>
        <w:right w:val="none" w:sz="0" w:space="0" w:color="auto"/>
      </w:divBdr>
    </w:div>
    <w:div w:id="1274560311">
      <w:bodyDiv w:val="1"/>
      <w:marLeft w:val="0"/>
      <w:marRight w:val="0"/>
      <w:marTop w:val="0"/>
      <w:marBottom w:val="0"/>
      <w:divBdr>
        <w:top w:val="none" w:sz="0" w:space="0" w:color="auto"/>
        <w:left w:val="none" w:sz="0" w:space="0" w:color="auto"/>
        <w:bottom w:val="none" w:sz="0" w:space="0" w:color="auto"/>
        <w:right w:val="none" w:sz="0" w:space="0" w:color="auto"/>
      </w:divBdr>
    </w:div>
    <w:div w:id="1293056208">
      <w:bodyDiv w:val="1"/>
      <w:marLeft w:val="0"/>
      <w:marRight w:val="0"/>
      <w:marTop w:val="0"/>
      <w:marBottom w:val="0"/>
      <w:divBdr>
        <w:top w:val="none" w:sz="0" w:space="0" w:color="auto"/>
        <w:left w:val="none" w:sz="0" w:space="0" w:color="auto"/>
        <w:bottom w:val="none" w:sz="0" w:space="0" w:color="auto"/>
        <w:right w:val="none" w:sz="0" w:space="0" w:color="auto"/>
      </w:divBdr>
    </w:div>
    <w:div w:id="1297641170">
      <w:bodyDiv w:val="1"/>
      <w:marLeft w:val="0"/>
      <w:marRight w:val="0"/>
      <w:marTop w:val="0"/>
      <w:marBottom w:val="0"/>
      <w:divBdr>
        <w:top w:val="none" w:sz="0" w:space="0" w:color="auto"/>
        <w:left w:val="none" w:sz="0" w:space="0" w:color="auto"/>
        <w:bottom w:val="none" w:sz="0" w:space="0" w:color="auto"/>
        <w:right w:val="none" w:sz="0" w:space="0" w:color="auto"/>
      </w:divBdr>
      <w:divsChild>
        <w:div w:id="1747069395">
          <w:marLeft w:val="3750"/>
          <w:marRight w:val="0"/>
          <w:marTop w:val="100"/>
          <w:marBottom w:val="100"/>
          <w:divBdr>
            <w:top w:val="none" w:sz="0" w:space="0" w:color="auto"/>
            <w:left w:val="none" w:sz="0" w:space="0" w:color="auto"/>
            <w:bottom w:val="none" w:sz="0" w:space="0" w:color="auto"/>
            <w:right w:val="none" w:sz="0" w:space="0" w:color="auto"/>
          </w:divBdr>
        </w:div>
        <w:div w:id="117335830">
          <w:marLeft w:val="0"/>
          <w:marRight w:val="0"/>
          <w:marTop w:val="100"/>
          <w:marBottom w:val="100"/>
          <w:divBdr>
            <w:top w:val="none" w:sz="0" w:space="0" w:color="auto"/>
            <w:left w:val="none" w:sz="0" w:space="0" w:color="auto"/>
            <w:bottom w:val="none" w:sz="0" w:space="0" w:color="auto"/>
            <w:right w:val="none" w:sz="0" w:space="0" w:color="auto"/>
          </w:divBdr>
          <w:divsChild>
            <w:div w:id="139274870">
              <w:marLeft w:val="0"/>
              <w:marRight w:val="0"/>
              <w:marTop w:val="100"/>
              <w:marBottom w:val="100"/>
              <w:divBdr>
                <w:top w:val="none" w:sz="0" w:space="0" w:color="auto"/>
                <w:left w:val="none" w:sz="0" w:space="0" w:color="auto"/>
                <w:bottom w:val="none" w:sz="0" w:space="0" w:color="auto"/>
                <w:right w:val="none" w:sz="0" w:space="0" w:color="auto"/>
              </w:divBdr>
            </w:div>
          </w:divsChild>
        </w:div>
        <w:div w:id="1387291160">
          <w:marLeft w:val="0"/>
          <w:marRight w:val="0"/>
          <w:marTop w:val="100"/>
          <w:marBottom w:val="100"/>
          <w:divBdr>
            <w:top w:val="none" w:sz="0" w:space="0" w:color="auto"/>
            <w:left w:val="none" w:sz="0" w:space="0" w:color="auto"/>
            <w:bottom w:val="none" w:sz="0" w:space="0" w:color="auto"/>
            <w:right w:val="none" w:sz="0" w:space="0" w:color="auto"/>
          </w:divBdr>
          <w:divsChild>
            <w:div w:id="15204624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27173471">
      <w:bodyDiv w:val="1"/>
      <w:marLeft w:val="0"/>
      <w:marRight w:val="0"/>
      <w:marTop w:val="0"/>
      <w:marBottom w:val="0"/>
      <w:divBdr>
        <w:top w:val="none" w:sz="0" w:space="0" w:color="auto"/>
        <w:left w:val="none" w:sz="0" w:space="0" w:color="auto"/>
        <w:bottom w:val="none" w:sz="0" w:space="0" w:color="auto"/>
        <w:right w:val="none" w:sz="0" w:space="0" w:color="auto"/>
      </w:divBdr>
    </w:div>
    <w:div w:id="1403288709">
      <w:bodyDiv w:val="1"/>
      <w:marLeft w:val="0"/>
      <w:marRight w:val="0"/>
      <w:marTop w:val="0"/>
      <w:marBottom w:val="0"/>
      <w:divBdr>
        <w:top w:val="none" w:sz="0" w:space="0" w:color="auto"/>
        <w:left w:val="none" w:sz="0" w:space="0" w:color="auto"/>
        <w:bottom w:val="none" w:sz="0" w:space="0" w:color="auto"/>
        <w:right w:val="none" w:sz="0" w:space="0" w:color="auto"/>
      </w:divBdr>
    </w:div>
    <w:div w:id="1438478340">
      <w:bodyDiv w:val="1"/>
      <w:marLeft w:val="0"/>
      <w:marRight w:val="0"/>
      <w:marTop w:val="0"/>
      <w:marBottom w:val="0"/>
      <w:divBdr>
        <w:top w:val="none" w:sz="0" w:space="0" w:color="auto"/>
        <w:left w:val="none" w:sz="0" w:space="0" w:color="auto"/>
        <w:bottom w:val="none" w:sz="0" w:space="0" w:color="auto"/>
        <w:right w:val="none" w:sz="0" w:space="0" w:color="auto"/>
      </w:divBdr>
      <w:divsChild>
        <w:div w:id="180822921">
          <w:marLeft w:val="0"/>
          <w:marRight w:val="0"/>
          <w:marTop w:val="0"/>
          <w:marBottom w:val="0"/>
          <w:divBdr>
            <w:top w:val="none" w:sz="0" w:space="0" w:color="auto"/>
            <w:left w:val="none" w:sz="0" w:space="0" w:color="auto"/>
            <w:bottom w:val="none" w:sz="0" w:space="0" w:color="auto"/>
            <w:right w:val="none" w:sz="0" w:space="0" w:color="auto"/>
          </w:divBdr>
          <w:divsChild>
            <w:div w:id="1159081073">
              <w:marLeft w:val="0"/>
              <w:marRight w:val="0"/>
              <w:marTop w:val="0"/>
              <w:marBottom w:val="0"/>
              <w:divBdr>
                <w:top w:val="none" w:sz="0" w:space="0" w:color="auto"/>
                <w:left w:val="none" w:sz="0" w:space="0" w:color="auto"/>
                <w:bottom w:val="none" w:sz="0" w:space="0" w:color="auto"/>
                <w:right w:val="none" w:sz="0" w:space="0" w:color="auto"/>
              </w:divBdr>
            </w:div>
          </w:divsChild>
        </w:div>
        <w:div w:id="1108084079">
          <w:marLeft w:val="0"/>
          <w:marRight w:val="0"/>
          <w:marTop w:val="0"/>
          <w:marBottom w:val="0"/>
          <w:divBdr>
            <w:top w:val="none" w:sz="0" w:space="0" w:color="auto"/>
            <w:left w:val="none" w:sz="0" w:space="0" w:color="auto"/>
            <w:bottom w:val="none" w:sz="0" w:space="0" w:color="auto"/>
            <w:right w:val="none" w:sz="0" w:space="0" w:color="auto"/>
          </w:divBdr>
          <w:divsChild>
            <w:div w:id="1145244364">
              <w:marLeft w:val="0"/>
              <w:marRight w:val="0"/>
              <w:marTop w:val="0"/>
              <w:marBottom w:val="0"/>
              <w:divBdr>
                <w:top w:val="none" w:sz="0" w:space="0" w:color="auto"/>
                <w:left w:val="none" w:sz="0" w:space="0" w:color="auto"/>
                <w:bottom w:val="none" w:sz="0" w:space="0" w:color="auto"/>
                <w:right w:val="none" w:sz="0" w:space="0" w:color="auto"/>
              </w:divBdr>
            </w:div>
          </w:divsChild>
        </w:div>
        <w:div w:id="800271120">
          <w:marLeft w:val="0"/>
          <w:marRight w:val="0"/>
          <w:marTop w:val="0"/>
          <w:marBottom w:val="0"/>
          <w:divBdr>
            <w:top w:val="none" w:sz="0" w:space="0" w:color="auto"/>
            <w:left w:val="none" w:sz="0" w:space="0" w:color="auto"/>
            <w:bottom w:val="none" w:sz="0" w:space="0" w:color="auto"/>
            <w:right w:val="none" w:sz="0" w:space="0" w:color="auto"/>
          </w:divBdr>
          <w:divsChild>
            <w:div w:id="2007899700">
              <w:marLeft w:val="0"/>
              <w:marRight w:val="0"/>
              <w:marTop w:val="0"/>
              <w:marBottom w:val="0"/>
              <w:divBdr>
                <w:top w:val="none" w:sz="0" w:space="0" w:color="auto"/>
                <w:left w:val="none" w:sz="0" w:space="0" w:color="auto"/>
                <w:bottom w:val="none" w:sz="0" w:space="0" w:color="auto"/>
                <w:right w:val="none" w:sz="0" w:space="0" w:color="auto"/>
              </w:divBdr>
            </w:div>
          </w:divsChild>
        </w:div>
        <w:div w:id="1995328942">
          <w:marLeft w:val="0"/>
          <w:marRight w:val="0"/>
          <w:marTop w:val="0"/>
          <w:marBottom w:val="0"/>
          <w:divBdr>
            <w:top w:val="none" w:sz="0" w:space="0" w:color="auto"/>
            <w:left w:val="none" w:sz="0" w:space="0" w:color="auto"/>
            <w:bottom w:val="none" w:sz="0" w:space="0" w:color="auto"/>
            <w:right w:val="none" w:sz="0" w:space="0" w:color="auto"/>
          </w:divBdr>
          <w:divsChild>
            <w:div w:id="644042791">
              <w:marLeft w:val="0"/>
              <w:marRight w:val="0"/>
              <w:marTop w:val="0"/>
              <w:marBottom w:val="0"/>
              <w:divBdr>
                <w:top w:val="none" w:sz="0" w:space="0" w:color="auto"/>
                <w:left w:val="none" w:sz="0" w:space="0" w:color="auto"/>
                <w:bottom w:val="none" w:sz="0" w:space="0" w:color="auto"/>
                <w:right w:val="none" w:sz="0" w:space="0" w:color="auto"/>
              </w:divBdr>
            </w:div>
          </w:divsChild>
        </w:div>
        <w:div w:id="782267595">
          <w:marLeft w:val="0"/>
          <w:marRight w:val="0"/>
          <w:marTop w:val="0"/>
          <w:marBottom w:val="0"/>
          <w:divBdr>
            <w:top w:val="none" w:sz="0" w:space="0" w:color="auto"/>
            <w:left w:val="none" w:sz="0" w:space="0" w:color="auto"/>
            <w:bottom w:val="none" w:sz="0" w:space="0" w:color="auto"/>
            <w:right w:val="none" w:sz="0" w:space="0" w:color="auto"/>
          </w:divBdr>
          <w:divsChild>
            <w:div w:id="463695844">
              <w:marLeft w:val="0"/>
              <w:marRight w:val="0"/>
              <w:marTop w:val="0"/>
              <w:marBottom w:val="0"/>
              <w:divBdr>
                <w:top w:val="none" w:sz="0" w:space="0" w:color="auto"/>
                <w:left w:val="none" w:sz="0" w:space="0" w:color="auto"/>
                <w:bottom w:val="none" w:sz="0" w:space="0" w:color="auto"/>
                <w:right w:val="none" w:sz="0" w:space="0" w:color="auto"/>
              </w:divBdr>
            </w:div>
          </w:divsChild>
        </w:div>
        <w:div w:id="1633751000">
          <w:marLeft w:val="0"/>
          <w:marRight w:val="0"/>
          <w:marTop w:val="0"/>
          <w:marBottom w:val="0"/>
          <w:divBdr>
            <w:top w:val="none" w:sz="0" w:space="0" w:color="auto"/>
            <w:left w:val="none" w:sz="0" w:space="0" w:color="auto"/>
            <w:bottom w:val="none" w:sz="0" w:space="0" w:color="auto"/>
            <w:right w:val="none" w:sz="0" w:space="0" w:color="auto"/>
          </w:divBdr>
          <w:divsChild>
            <w:div w:id="959188208">
              <w:marLeft w:val="0"/>
              <w:marRight w:val="0"/>
              <w:marTop w:val="0"/>
              <w:marBottom w:val="0"/>
              <w:divBdr>
                <w:top w:val="none" w:sz="0" w:space="0" w:color="auto"/>
                <w:left w:val="none" w:sz="0" w:space="0" w:color="auto"/>
                <w:bottom w:val="none" w:sz="0" w:space="0" w:color="auto"/>
                <w:right w:val="none" w:sz="0" w:space="0" w:color="auto"/>
              </w:divBdr>
            </w:div>
          </w:divsChild>
        </w:div>
        <w:div w:id="1737238163">
          <w:marLeft w:val="0"/>
          <w:marRight w:val="0"/>
          <w:marTop w:val="0"/>
          <w:marBottom w:val="0"/>
          <w:divBdr>
            <w:top w:val="none" w:sz="0" w:space="0" w:color="auto"/>
            <w:left w:val="none" w:sz="0" w:space="0" w:color="auto"/>
            <w:bottom w:val="none" w:sz="0" w:space="0" w:color="auto"/>
            <w:right w:val="none" w:sz="0" w:space="0" w:color="auto"/>
          </w:divBdr>
          <w:divsChild>
            <w:div w:id="1576011185">
              <w:marLeft w:val="0"/>
              <w:marRight w:val="0"/>
              <w:marTop w:val="0"/>
              <w:marBottom w:val="0"/>
              <w:divBdr>
                <w:top w:val="none" w:sz="0" w:space="0" w:color="auto"/>
                <w:left w:val="none" w:sz="0" w:space="0" w:color="auto"/>
                <w:bottom w:val="none" w:sz="0" w:space="0" w:color="auto"/>
                <w:right w:val="none" w:sz="0" w:space="0" w:color="auto"/>
              </w:divBdr>
            </w:div>
          </w:divsChild>
        </w:div>
        <w:div w:id="1308318859">
          <w:marLeft w:val="0"/>
          <w:marRight w:val="0"/>
          <w:marTop w:val="0"/>
          <w:marBottom w:val="0"/>
          <w:divBdr>
            <w:top w:val="none" w:sz="0" w:space="0" w:color="auto"/>
            <w:left w:val="none" w:sz="0" w:space="0" w:color="auto"/>
            <w:bottom w:val="none" w:sz="0" w:space="0" w:color="auto"/>
            <w:right w:val="none" w:sz="0" w:space="0" w:color="auto"/>
          </w:divBdr>
          <w:divsChild>
            <w:div w:id="1659067661">
              <w:marLeft w:val="0"/>
              <w:marRight w:val="0"/>
              <w:marTop w:val="0"/>
              <w:marBottom w:val="0"/>
              <w:divBdr>
                <w:top w:val="none" w:sz="0" w:space="0" w:color="auto"/>
                <w:left w:val="none" w:sz="0" w:space="0" w:color="auto"/>
                <w:bottom w:val="none" w:sz="0" w:space="0" w:color="auto"/>
                <w:right w:val="none" w:sz="0" w:space="0" w:color="auto"/>
              </w:divBdr>
            </w:div>
          </w:divsChild>
        </w:div>
        <w:div w:id="245964827">
          <w:marLeft w:val="0"/>
          <w:marRight w:val="0"/>
          <w:marTop w:val="0"/>
          <w:marBottom w:val="0"/>
          <w:divBdr>
            <w:top w:val="none" w:sz="0" w:space="0" w:color="auto"/>
            <w:left w:val="none" w:sz="0" w:space="0" w:color="auto"/>
            <w:bottom w:val="none" w:sz="0" w:space="0" w:color="auto"/>
            <w:right w:val="none" w:sz="0" w:space="0" w:color="auto"/>
          </w:divBdr>
          <w:divsChild>
            <w:div w:id="1539001483">
              <w:marLeft w:val="0"/>
              <w:marRight w:val="0"/>
              <w:marTop w:val="0"/>
              <w:marBottom w:val="0"/>
              <w:divBdr>
                <w:top w:val="none" w:sz="0" w:space="0" w:color="auto"/>
                <w:left w:val="none" w:sz="0" w:space="0" w:color="auto"/>
                <w:bottom w:val="none" w:sz="0" w:space="0" w:color="auto"/>
                <w:right w:val="none" w:sz="0" w:space="0" w:color="auto"/>
              </w:divBdr>
            </w:div>
          </w:divsChild>
        </w:div>
        <w:div w:id="415784388">
          <w:marLeft w:val="0"/>
          <w:marRight w:val="0"/>
          <w:marTop w:val="0"/>
          <w:marBottom w:val="0"/>
          <w:divBdr>
            <w:top w:val="none" w:sz="0" w:space="0" w:color="auto"/>
            <w:left w:val="none" w:sz="0" w:space="0" w:color="auto"/>
            <w:bottom w:val="none" w:sz="0" w:space="0" w:color="auto"/>
            <w:right w:val="none" w:sz="0" w:space="0" w:color="auto"/>
          </w:divBdr>
          <w:divsChild>
            <w:div w:id="786699653">
              <w:marLeft w:val="0"/>
              <w:marRight w:val="0"/>
              <w:marTop w:val="0"/>
              <w:marBottom w:val="0"/>
              <w:divBdr>
                <w:top w:val="none" w:sz="0" w:space="0" w:color="auto"/>
                <w:left w:val="none" w:sz="0" w:space="0" w:color="auto"/>
                <w:bottom w:val="none" w:sz="0" w:space="0" w:color="auto"/>
                <w:right w:val="none" w:sz="0" w:space="0" w:color="auto"/>
              </w:divBdr>
            </w:div>
          </w:divsChild>
        </w:div>
        <w:div w:id="1567380447">
          <w:marLeft w:val="0"/>
          <w:marRight w:val="0"/>
          <w:marTop w:val="0"/>
          <w:marBottom w:val="0"/>
          <w:divBdr>
            <w:top w:val="none" w:sz="0" w:space="0" w:color="auto"/>
            <w:left w:val="none" w:sz="0" w:space="0" w:color="auto"/>
            <w:bottom w:val="none" w:sz="0" w:space="0" w:color="auto"/>
            <w:right w:val="none" w:sz="0" w:space="0" w:color="auto"/>
          </w:divBdr>
          <w:divsChild>
            <w:div w:id="1357580211">
              <w:marLeft w:val="0"/>
              <w:marRight w:val="0"/>
              <w:marTop w:val="0"/>
              <w:marBottom w:val="0"/>
              <w:divBdr>
                <w:top w:val="none" w:sz="0" w:space="0" w:color="auto"/>
                <w:left w:val="none" w:sz="0" w:space="0" w:color="auto"/>
                <w:bottom w:val="none" w:sz="0" w:space="0" w:color="auto"/>
                <w:right w:val="none" w:sz="0" w:space="0" w:color="auto"/>
              </w:divBdr>
            </w:div>
          </w:divsChild>
        </w:div>
        <w:div w:id="1185748386">
          <w:marLeft w:val="0"/>
          <w:marRight w:val="0"/>
          <w:marTop w:val="0"/>
          <w:marBottom w:val="0"/>
          <w:divBdr>
            <w:top w:val="none" w:sz="0" w:space="0" w:color="auto"/>
            <w:left w:val="none" w:sz="0" w:space="0" w:color="auto"/>
            <w:bottom w:val="none" w:sz="0" w:space="0" w:color="auto"/>
            <w:right w:val="none" w:sz="0" w:space="0" w:color="auto"/>
          </w:divBdr>
          <w:divsChild>
            <w:div w:id="999848847">
              <w:marLeft w:val="0"/>
              <w:marRight w:val="0"/>
              <w:marTop w:val="0"/>
              <w:marBottom w:val="0"/>
              <w:divBdr>
                <w:top w:val="none" w:sz="0" w:space="0" w:color="auto"/>
                <w:left w:val="none" w:sz="0" w:space="0" w:color="auto"/>
                <w:bottom w:val="none" w:sz="0" w:space="0" w:color="auto"/>
                <w:right w:val="none" w:sz="0" w:space="0" w:color="auto"/>
              </w:divBdr>
            </w:div>
          </w:divsChild>
        </w:div>
        <w:div w:id="994383122">
          <w:marLeft w:val="0"/>
          <w:marRight w:val="0"/>
          <w:marTop w:val="0"/>
          <w:marBottom w:val="0"/>
          <w:divBdr>
            <w:top w:val="none" w:sz="0" w:space="0" w:color="auto"/>
            <w:left w:val="none" w:sz="0" w:space="0" w:color="auto"/>
            <w:bottom w:val="none" w:sz="0" w:space="0" w:color="auto"/>
            <w:right w:val="none" w:sz="0" w:space="0" w:color="auto"/>
          </w:divBdr>
          <w:divsChild>
            <w:div w:id="203287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51540">
      <w:bodyDiv w:val="1"/>
      <w:marLeft w:val="0"/>
      <w:marRight w:val="0"/>
      <w:marTop w:val="0"/>
      <w:marBottom w:val="0"/>
      <w:divBdr>
        <w:top w:val="none" w:sz="0" w:space="0" w:color="auto"/>
        <w:left w:val="none" w:sz="0" w:space="0" w:color="auto"/>
        <w:bottom w:val="none" w:sz="0" w:space="0" w:color="auto"/>
        <w:right w:val="none" w:sz="0" w:space="0" w:color="auto"/>
      </w:divBdr>
    </w:div>
    <w:div w:id="1474831234">
      <w:bodyDiv w:val="1"/>
      <w:marLeft w:val="0"/>
      <w:marRight w:val="0"/>
      <w:marTop w:val="0"/>
      <w:marBottom w:val="0"/>
      <w:divBdr>
        <w:top w:val="none" w:sz="0" w:space="0" w:color="auto"/>
        <w:left w:val="none" w:sz="0" w:space="0" w:color="auto"/>
        <w:bottom w:val="none" w:sz="0" w:space="0" w:color="auto"/>
        <w:right w:val="none" w:sz="0" w:space="0" w:color="auto"/>
      </w:divBdr>
    </w:div>
    <w:div w:id="1489589277">
      <w:bodyDiv w:val="1"/>
      <w:marLeft w:val="0"/>
      <w:marRight w:val="0"/>
      <w:marTop w:val="0"/>
      <w:marBottom w:val="0"/>
      <w:divBdr>
        <w:top w:val="none" w:sz="0" w:space="0" w:color="auto"/>
        <w:left w:val="none" w:sz="0" w:space="0" w:color="auto"/>
        <w:bottom w:val="none" w:sz="0" w:space="0" w:color="auto"/>
        <w:right w:val="none" w:sz="0" w:space="0" w:color="auto"/>
      </w:divBdr>
    </w:div>
    <w:div w:id="1520661101">
      <w:bodyDiv w:val="1"/>
      <w:marLeft w:val="0"/>
      <w:marRight w:val="0"/>
      <w:marTop w:val="0"/>
      <w:marBottom w:val="0"/>
      <w:divBdr>
        <w:top w:val="none" w:sz="0" w:space="0" w:color="auto"/>
        <w:left w:val="none" w:sz="0" w:space="0" w:color="auto"/>
        <w:bottom w:val="none" w:sz="0" w:space="0" w:color="auto"/>
        <w:right w:val="none" w:sz="0" w:space="0" w:color="auto"/>
      </w:divBdr>
    </w:div>
    <w:div w:id="1597785221">
      <w:bodyDiv w:val="1"/>
      <w:marLeft w:val="0"/>
      <w:marRight w:val="0"/>
      <w:marTop w:val="0"/>
      <w:marBottom w:val="0"/>
      <w:divBdr>
        <w:top w:val="none" w:sz="0" w:space="0" w:color="auto"/>
        <w:left w:val="none" w:sz="0" w:space="0" w:color="auto"/>
        <w:bottom w:val="none" w:sz="0" w:space="0" w:color="auto"/>
        <w:right w:val="none" w:sz="0" w:space="0" w:color="auto"/>
      </w:divBdr>
    </w:div>
    <w:div w:id="1611087513">
      <w:bodyDiv w:val="1"/>
      <w:marLeft w:val="0"/>
      <w:marRight w:val="0"/>
      <w:marTop w:val="0"/>
      <w:marBottom w:val="0"/>
      <w:divBdr>
        <w:top w:val="none" w:sz="0" w:space="0" w:color="auto"/>
        <w:left w:val="none" w:sz="0" w:space="0" w:color="auto"/>
        <w:bottom w:val="none" w:sz="0" w:space="0" w:color="auto"/>
        <w:right w:val="none" w:sz="0" w:space="0" w:color="auto"/>
      </w:divBdr>
    </w:div>
    <w:div w:id="1612859444">
      <w:bodyDiv w:val="1"/>
      <w:marLeft w:val="0"/>
      <w:marRight w:val="0"/>
      <w:marTop w:val="0"/>
      <w:marBottom w:val="0"/>
      <w:divBdr>
        <w:top w:val="none" w:sz="0" w:space="0" w:color="auto"/>
        <w:left w:val="none" w:sz="0" w:space="0" w:color="auto"/>
        <w:bottom w:val="none" w:sz="0" w:space="0" w:color="auto"/>
        <w:right w:val="none" w:sz="0" w:space="0" w:color="auto"/>
      </w:divBdr>
      <w:divsChild>
        <w:div w:id="617567288">
          <w:marLeft w:val="0"/>
          <w:marRight w:val="0"/>
          <w:marTop w:val="0"/>
          <w:marBottom w:val="0"/>
          <w:divBdr>
            <w:top w:val="none" w:sz="0" w:space="0" w:color="auto"/>
            <w:left w:val="none" w:sz="0" w:space="0" w:color="auto"/>
            <w:bottom w:val="none" w:sz="0" w:space="0" w:color="auto"/>
            <w:right w:val="none" w:sz="0" w:space="0" w:color="auto"/>
          </w:divBdr>
          <w:divsChild>
            <w:div w:id="143279740">
              <w:marLeft w:val="0"/>
              <w:marRight w:val="0"/>
              <w:marTop w:val="0"/>
              <w:marBottom w:val="0"/>
              <w:divBdr>
                <w:top w:val="none" w:sz="0" w:space="0" w:color="auto"/>
                <w:left w:val="none" w:sz="0" w:space="0" w:color="auto"/>
                <w:bottom w:val="none" w:sz="0" w:space="0" w:color="auto"/>
                <w:right w:val="none" w:sz="0" w:space="0" w:color="auto"/>
              </w:divBdr>
            </w:div>
          </w:divsChild>
        </w:div>
        <w:div w:id="765854486">
          <w:marLeft w:val="0"/>
          <w:marRight w:val="0"/>
          <w:marTop w:val="0"/>
          <w:marBottom w:val="0"/>
          <w:divBdr>
            <w:top w:val="none" w:sz="0" w:space="0" w:color="auto"/>
            <w:left w:val="none" w:sz="0" w:space="0" w:color="auto"/>
            <w:bottom w:val="none" w:sz="0" w:space="0" w:color="auto"/>
            <w:right w:val="none" w:sz="0" w:space="0" w:color="auto"/>
          </w:divBdr>
          <w:divsChild>
            <w:div w:id="32377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06026">
      <w:bodyDiv w:val="1"/>
      <w:marLeft w:val="0"/>
      <w:marRight w:val="0"/>
      <w:marTop w:val="0"/>
      <w:marBottom w:val="0"/>
      <w:divBdr>
        <w:top w:val="none" w:sz="0" w:space="0" w:color="auto"/>
        <w:left w:val="none" w:sz="0" w:space="0" w:color="auto"/>
        <w:bottom w:val="none" w:sz="0" w:space="0" w:color="auto"/>
        <w:right w:val="none" w:sz="0" w:space="0" w:color="auto"/>
      </w:divBdr>
    </w:div>
    <w:div w:id="1656445364">
      <w:bodyDiv w:val="1"/>
      <w:marLeft w:val="0"/>
      <w:marRight w:val="0"/>
      <w:marTop w:val="0"/>
      <w:marBottom w:val="0"/>
      <w:divBdr>
        <w:top w:val="none" w:sz="0" w:space="0" w:color="auto"/>
        <w:left w:val="none" w:sz="0" w:space="0" w:color="auto"/>
        <w:bottom w:val="none" w:sz="0" w:space="0" w:color="auto"/>
        <w:right w:val="none" w:sz="0" w:space="0" w:color="auto"/>
      </w:divBdr>
    </w:div>
    <w:div w:id="1683358833">
      <w:bodyDiv w:val="1"/>
      <w:marLeft w:val="0"/>
      <w:marRight w:val="0"/>
      <w:marTop w:val="0"/>
      <w:marBottom w:val="0"/>
      <w:divBdr>
        <w:top w:val="none" w:sz="0" w:space="0" w:color="auto"/>
        <w:left w:val="none" w:sz="0" w:space="0" w:color="auto"/>
        <w:bottom w:val="none" w:sz="0" w:space="0" w:color="auto"/>
        <w:right w:val="none" w:sz="0" w:space="0" w:color="auto"/>
      </w:divBdr>
    </w:div>
    <w:div w:id="1689746365">
      <w:bodyDiv w:val="1"/>
      <w:marLeft w:val="0"/>
      <w:marRight w:val="0"/>
      <w:marTop w:val="0"/>
      <w:marBottom w:val="0"/>
      <w:divBdr>
        <w:top w:val="none" w:sz="0" w:space="0" w:color="auto"/>
        <w:left w:val="none" w:sz="0" w:space="0" w:color="auto"/>
        <w:bottom w:val="none" w:sz="0" w:space="0" w:color="auto"/>
        <w:right w:val="none" w:sz="0" w:space="0" w:color="auto"/>
      </w:divBdr>
    </w:div>
    <w:div w:id="1755321285">
      <w:bodyDiv w:val="1"/>
      <w:marLeft w:val="0"/>
      <w:marRight w:val="0"/>
      <w:marTop w:val="0"/>
      <w:marBottom w:val="0"/>
      <w:divBdr>
        <w:top w:val="none" w:sz="0" w:space="0" w:color="auto"/>
        <w:left w:val="none" w:sz="0" w:space="0" w:color="auto"/>
        <w:bottom w:val="none" w:sz="0" w:space="0" w:color="auto"/>
        <w:right w:val="none" w:sz="0" w:space="0" w:color="auto"/>
      </w:divBdr>
    </w:div>
    <w:div w:id="1801876186">
      <w:bodyDiv w:val="1"/>
      <w:marLeft w:val="0"/>
      <w:marRight w:val="0"/>
      <w:marTop w:val="0"/>
      <w:marBottom w:val="0"/>
      <w:divBdr>
        <w:top w:val="none" w:sz="0" w:space="0" w:color="auto"/>
        <w:left w:val="none" w:sz="0" w:space="0" w:color="auto"/>
        <w:bottom w:val="none" w:sz="0" w:space="0" w:color="auto"/>
        <w:right w:val="none" w:sz="0" w:space="0" w:color="auto"/>
      </w:divBdr>
    </w:div>
    <w:div w:id="1826121438">
      <w:bodyDiv w:val="1"/>
      <w:marLeft w:val="0"/>
      <w:marRight w:val="0"/>
      <w:marTop w:val="0"/>
      <w:marBottom w:val="0"/>
      <w:divBdr>
        <w:top w:val="none" w:sz="0" w:space="0" w:color="auto"/>
        <w:left w:val="none" w:sz="0" w:space="0" w:color="auto"/>
        <w:bottom w:val="none" w:sz="0" w:space="0" w:color="auto"/>
        <w:right w:val="none" w:sz="0" w:space="0" w:color="auto"/>
      </w:divBdr>
    </w:div>
    <w:div w:id="1859270811">
      <w:bodyDiv w:val="1"/>
      <w:marLeft w:val="0"/>
      <w:marRight w:val="0"/>
      <w:marTop w:val="0"/>
      <w:marBottom w:val="0"/>
      <w:divBdr>
        <w:top w:val="none" w:sz="0" w:space="0" w:color="auto"/>
        <w:left w:val="none" w:sz="0" w:space="0" w:color="auto"/>
        <w:bottom w:val="none" w:sz="0" w:space="0" w:color="auto"/>
        <w:right w:val="none" w:sz="0" w:space="0" w:color="auto"/>
      </w:divBdr>
    </w:div>
    <w:div w:id="1866358279">
      <w:bodyDiv w:val="1"/>
      <w:marLeft w:val="0"/>
      <w:marRight w:val="0"/>
      <w:marTop w:val="0"/>
      <w:marBottom w:val="0"/>
      <w:divBdr>
        <w:top w:val="none" w:sz="0" w:space="0" w:color="auto"/>
        <w:left w:val="none" w:sz="0" w:space="0" w:color="auto"/>
        <w:bottom w:val="none" w:sz="0" w:space="0" w:color="auto"/>
        <w:right w:val="none" w:sz="0" w:space="0" w:color="auto"/>
      </w:divBdr>
    </w:div>
    <w:div w:id="1867910854">
      <w:bodyDiv w:val="1"/>
      <w:marLeft w:val="0"/>
      <w:marRight w:val="0"/>
      <w:marTop w:val="0"/>
      <w:marBottom w:val="0"/>
      <w:divBdr>
        <w:top w:val="none" w:sz="0" w:space="0" w:color="auto"/>
        <w:left w:val="none" w:sz="0" w:space="0" w:color="auto"/>
        <w:bottom w:val="none" w:sz="0" w:space="0" w:color="auto"/>
        <w:right w:val="none" w:sz="0" w:space="0" w:color="auto"/>
      </w:divBdr>
      <w:divsChild>
        <w:div w:id="804812783">
          <w:marLeft w:val="0"/>
          <w:marRight w:val="0"/>
          <w:marTop w:val="0"/>
          <w:marBottom w:val="0"/>
          <w:divBdr>
            <w:top w:val="none" w:sz="0" w:space="0" w:color="auto"/>
            <w:left w:val="none" w:sz="0" w:space="0" w:color="auto"/>
            <w:bottom w:val="none" w:sz="0" w:space="0" w:color="auto"/>
            <w:right w:val="none" w:sz="0" w:space="0" w:color="auto"/>
          </w:divBdr>
        </w:div>
        <w:div w:id="1251041842">
          <w:marLeft w:val="0"/>
          <w:marRight w:val="0"/>
          <w:marTop w:val="0"/>
          <w:marBottom w:val="0"/>
          <w:divBdr>
            <w:top w:val="none" w:sz="0" w:space="0" w:color="auto"/>
            <w:left w:val="none" w:sz="0" w:space="0" w:color="auto"/>
            <w:bottom w:val="none" w:sz="0" w:space="0" w:color="auto"/>
            <w:right w:val="none" w:sz="0" w:space="0" w:color="auto"/>
          </w:divBdr>
        </w:div>
        <w:div w:id="37316034">
          <w:marLeft w:val="0"/>
          <w:marRight w:val="0"/>
          <w:marTop w:val="0"/>
          <w:marBottom w:val="0"/>
          <w:divBdr>
            <w:top w:val="none" w:sz="0" w:space="0" w:color="auto"/>
            <w:left w:val="none" w:sz="0" w:space="0" w:color="auto"/>
            <w:bottom w:val="none" w:sz="0" w:space="0" w:color="auto"/>
            <w:right w:val="none" w:sz="0" w:space="0" w:color="auto"/>
          </w:divBdr>
          <w:divsChild>
            <w:div w:id="1676764337">
              <w:marLeft w:val="0"/>
              <w:marRight w:val="0"/>
              <w:marTop w:val="140"/>
              <w:marBottom w:val="0"/>
              <w:divBdr>
                <w:top w:val="none" w:sz="0" w:space="0" w:color="auto"/>
                <w:left w:val="none" w:sz="0" w:space="0" w:color="auto"/>
                <w:bottom w:val="none" w:sz="0" w:space="0" w:color="auto"/>
                <w:right w:val="none" w:sz="0" w:space="0" w:color="auto"/>
              </w:divBdr>
            </w:div>
          </w:divsChild>
        </w:div>
      </w:divsChild>
    </w:div>
    <w:div w:id="1881480739">
      <w:bodyDiv w:val="1"/>
      <w:marLeft w:val="0"/>
      <w:marRight w:val="0"/>
      <w:marTop w:val="0"/>
      <w:marBottom w:val="0"/>
      <w:divBdr>
        <w:top w:val="none" w:sz="0" w:space="0" w:color="auto"/>
        <w:left w:val="none" w:sz="0" w:space="0" w:color="auto"/>
        <w:bottom w:val="none" w:sz="0" w:space="0" w:color="auto"/>
        <w:right w:val="none" w:sz="0" w:space="0" w:color="auto"/>
      </w:divBdr>
    </w:div>
    <w:div w:id="1899169426">
      <w:bodyDiv w:val="1"/>
      <w:marLeft w:val="0"/>
      <w:marRight w:val="0"/>
      <w:marTop w:val="0"/>
      <w:marBottom w:val="0"/>
      <w:divBdr>
        <w:top w:val="none" w:sz="0" w:space="0" w:color="auto"/>
        <w:left w:val="none" w:sz="0" w:space="0" w:color="auto"/>
        <w:bottom w:val="none" w:sz="0" w:space="0" w:color="auto"/>
        <w:right w:val="none" w:sz="0" w:space="0" w:color="auto"/>
      </w:divBdr>
    </w:div>
    <w:div w:id="1899244790">
      <w:bodyDiv w:val="1"/>
      <w:marLeft w:val="0"/>
      <w:marRight w:val="0"/>
      <w:marTop w:val="0"/>
      <w:marBottom w:val="0"/>
      <w:divBdr>
        <w:top w:val="none" w:sz="0" w:space="0" w:color="auto"/>
        <w:left w:val="none" w:sz="0" w:space="0" w:color="auto"/>
        <w:bottom w:val="none" w:sz="0" w:space="0" w:color="auto"/>
        <w:right w:val="none" w:sz="0" w:space="0" w:color="auto"/>
      </w:divBdr>
    </w:div>
    <w:div w:id="1910261750">
      <w:bodyDiv w:val="1"/>
      <w:marLeft w:val="0"/>
      <w:marRight w:val="0"/>
      <w:marTop w:val="0"/>
      <w:marBottom w:val="0"/>
      <w:divBdr>
        <w:top w:val="none" w:sz="0" w:space="0" w:color="auto"/>
        <w:left w:val="none" w:sz="0" w:space="0" w:color="auto"/>
        <w:bottom w:val="none" w:sz="0" w:space="0" w:color="auto"/>
        <w:right w:val="none" w:sz="0" w:space="0" w:color="auto"/>
      </w:divBdr>
    </w:div>
    <w:div w:id="1932349172">
      <w:bodyDiv w:val="1"/>
      <w:marLeft w:val="0"/>
      <w:marRight w:val="0"/>
      <w:marTop w:val="0"/>
      <w:marBottom w:val="0"/>
      <w:divBdr>
        <w:top w:val="none" w:sz="0" w:space="0" w:color="auto"/>
        <w:left w:val="none" w:sz="0" w:space="0" w:color="auto"/>
        <w:bottom w:val="none" w:sz="0" w:space="0" w:color="auto"/>
        <w:right w:val="none" w:sz="0" w:space="0" w:color="auto"/>
      </w:divBdr>
    </w:div>
    <w:div w:id="1972050291">
      <w:bodyDiv w:val="1"/>
      <w:marLeft w:val="0"/>
      <w:marRight w:val="0"/>
      <w:marTop w:val="0"/>
      <w:marBottom w:val="0"/>
      <w:divBdr>
        <w:top w:val="none" w:sz="0" w:space="0" w:color="auto"/>
        <w:left w:val="none" w:sz="0" w:space="0" w:color="auto"/>
        <w:bottom w:val="none" w:sz="0" w:space="0" w:color="auto"/>
        <w:right w:val="none" w:sz="0" w:space="0" w:color="auto"/>
      </w:divBdr>
    </w:div>
    <w:div w:id="1991790672">
      <w:bodyDiv w:val="1"/>
      <w:marLeft w:val="0"/>
      <w:marRight w:val="0"/>
      <w:marTop w:val="0"/>
      <w:marBottom w:val="0"/>
      <w:divBdr>
        <w:top w:val="none" w:sz="0" w:space="0" w:color="auto"/>
        <w:left w:val="none" w:sz="0" w:space="0" w:color="auto"/>
        <w:bottom w:val="none" w:sz="0" w:space="0" w:color="auto"/>
        <w:right w:val="none" w:sz="0" w:space="0" w:color="auto"/>
      </w:divBdr>
    </w:div>
    <w:div w:id="1995330280">
      <w:bodyDiv w:val="1"/>
      <w:marLeft w:val="0"/>
      <w:marRight w:val="0"/>
      <w:marTop w:val="0"/>
      <w:marBottom w:val="0"/>
      <w:divBdr>
        <w:top w:val="none" w:sz="0" w:space="0" w:color="auto"/>
        <w:left w:val="none" w:sz="0" w:space="0" w:color="auto"/>
        <w:bottom w:val="none" w:sz="0" w:space="0" w:color="auto"/>
        <w:right w:val="none" w:sz="0" w:space="0" w:color="auto"/>
      </w:divBdr>
    </w:div>
    <w:div w:id="2034258926">
      <w:bodyDiv w:val="1"/>
      <w:marLeft w:val="0"/>
      <w:marRight w:val="0"/>
      <w:marTop w:val="0"/>
      <w:marBottom w:val="0"/>
      <w:divBdr>
        <w:top w:val="none" w:sz="0" w:space="0" w:color="auto"/>
        <w:left w:val="none" w:sz="0" w:space="0" w:color="auto"/>
        <w:bottom w:val="none" w:sz="0" w:space="0" w:color="auto"/>
        <w:right w:val="none" w:sz="0" w:space="0" w:color="auto"/>
      </w:divBdr>
    </w:div>
    <w:div w:id="2056465849">
      <w:bodyDiv w:val="1"/>
      <w:marLeft w:val="0"/>
      <w:marRight w:val="0"/>
      <w:marTop w:val="0"/>
      <w:marBottom w:val="0"/>
      <w:divBdr>
        <w:top w:val="none" w:sz="0" w:space="0" w:color="auto"/>
        <w:left w:val="none" w:sz="0" w:space="0" w:color="auto"/>
        <w:bottom w:val="none" w:sz="0" w:space="0" w:color="auto"/>
        <w:right w:val="none" w:sz="0" w:space="0" w:color="auto"/>
      </w:divBdr>
    </w:div>
    <w:div w:id="2092237553">
      <w:bodyDiv w:val="1"/>
      <w:marLeft w:val="0"/>
      <w:marRight w:val="0"/>
      <w:marTop w:val="0"/>
      <w:marBottom w:val="0"/>
      <w:divBdr>
        <w:top w:val="none" w:sz="0" w:space="0" w:color="auto"/>
        <w:left w:val="none" w:sz="0" w:space="0" w:color="auto"/>
        <w:bottom w:val="none" w:sz="0" w:space="0" w:color="auto"/>
        <w:right w:val="none" w:sz="0" w:space="0" w:color="auto"/>
      </w:divBdr>
    </w:div>
    <w:div w:id="2095198847">
      <w:bodyDiv w:val="1"/>
      <w:marLeft w:val="0"/>
      <w:marRight w:val="0"/>
      <w:marTop w:val="0"/>
      <w:marBottom w:val="0"/>
      <w:divBdr>
        <w:top w:val="none" w:sz="0" w:space="0" w:color="auto"/>
        <w:left w:val="none" w:sz="0" w:space="0" w:color="auto"/>
        <w:bottom w:val="none" w:sz="0" w:space="0" w:color="auto"/>
        <w:right w:val="none" w:sz="0" w:space="0" w:color="auto"/>
      </w:divBdr>
    </w:div>
    <w:div w:id="213551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2.xml"/></Relationships>
</file>

<file path=word/_rels/footnotes.xml.rels><?xml version="1.0" encoding="UTF-8" standalone="yes"?>
<Relationships xmlns="http://schemas.openxmlformats.org/package/2006/relationships"><Relationship Id="rId3" Type="http://schemas.openxmlformats.org/officeDocument/2006/relationships/hyperlink" Target="http://banrep.gov.co/docum/ftp/borra541.pdf" TargetMode="External"/><Relationship Id="rId2" Type="http://schemas.openxmlformats.org/officeDocument/2006/relationships/hyperlink" Target="http://www.banrep.gov.co/docum/ftp/borra287.pdf" TargetMode="External"/><Relationship Id="rId1" Type="http://schemas.openxmlformats.org/officeDocument/2006/relationships/hyperlink" Target="http://www.suin-juriscol.gov.co/viewDocument.asp?id=3003629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ropbox\Economia%20udea\Semestre%2010%202017%2001\Monograf&#237;a%20de%20grado\DATOS%20PARA%20LA%20TESIS%20DE%20GRADO-20170623T204415Z-001\DATOS%20PARA%20LA%20TESIS%20DE%20GRADO\DATOS%20CON%20GRAFICAS\Historico%20IP%20GMC222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ropbox\Economia%20udea\Semestre%2010%202017%2001\Monograf&#237;a%20de%20grado\DATOS%20PARA%20LA%20TESIS%20DE%20GRADO-20170623T204415Z-001\DATOS%20PARA%20LA%20TESIS%20DE%20GRADO\DATOS%20CON%20GRAFICAS\Historico%20IP%20GMC222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Desktop\Mejoras%20a%20tesis\Predicci&#243;n_GMC.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Desktop\Mejoras%20a%20tesis\PP_ACPM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a:pPr>
            <a:r>
              <a:rPr lang="en-US" sz="1200" b="0"/>
              <a:t>Variación mensual (%) del IP Gasolina corriente </a:t>
            </a:r>
          </a:p>
        </c:rich>
      </c:tx>
      <c:overlay val="0"/>
    </c:title>
    <c:autoTitleDeleted val="0"/>
    <c:plotArea>
      <c:layout/>
      <c:lineChart>
        <c:grouping val="standard"/>
        <c:varyColors val="0"/>
        <c:ser>
          <c:idx val="0"/>
          <c:order val="0"/>
          <c:tx>
            <c:strRef>
              <c:f>'IP GASOLINA'!$G$39</c:f>
              <c:strCache>
                <c:ptCount val="1"/>
                <c:pt idx="0">
                  <c:v>Variación % IP mensual</c:v>
                </c:pt>
              </c:strCache>
            </c:strRef>
          </c:tx>
          <c:spPr>
            <a:ln w="25400">
              <a:solidFill>
                <a:schemeClr val="bg1">
                  <a:lumMod val="50000"/>
                </a:schemeClr>
              </a:solidFill>
            </a:ln>
          </c:spPr>
          <c:marker>
            <c:symbol val="diamond"/>
            <c:size val="5"/>
            <c:spPr>
              <a:solidFill>
                <a:schemeClr val="bg1">
                  <a:lumMod val="65000"/>
                </a:schemeClr>
              </a:solidFill>
            </c:spPr>
          </c:marker>
          <c:cat>
            <c:numRef>
              <c:f>'IP GASOLINA'!$E$40:$E$102</c:f>
              <c:numCache>
                <c:formatCode>mmm\-yy</c:formatCode>
                <c:ptCount val="63"/>
                <c:pt idx="0">
                  <c:v>40817</c:v>
                </c:pt>
                <c:pt idx="1">
                  <c:v>40848</c:v>
                </c:pt>
                <c:pt idx="2">
                  <c:v>40878</c:v>
                </c:pt>
                <c:pt idx="3">
                  <c:v>40909</c:v>
                </c:pt>
                <c:pt idx="4">
                  <c:v>40940</c:v>
                </c:pt>
                <c:pt idx="5">
                  <c:v>40969</c:v>
                </c:pt>
                <c:pt idx="6">
                  <c:v>41000</c:v>
                </c:pt>
                <c:pt idx="7">
                  <c:v>41030</c:v>
                </c:pt>
                <c:pt idx="8">
                  <c:v>41061</c:v>
                </c:pt>
                <c:pt idx="9">
                  <c:v>41091</c:v>
                </c:pt>
                <c:pt idx="10">
                  <c:v>41122</c:v>
                </c:pt>
                <c:pt idx="11">
                  <c:v>41153</c:v>
                </c:pt>
                <c:pt idx="12">
                  <c:v>41183</c:v>
                </c:pt>
                <c:pt idx="13">
                  <c:v>41214</c:v>
                </c:pt>
                <c:pt idx="14">
                  <c:v>41244</c:v>
                </c:pt>
                <c:pt idx="15">
                  <c:v>41275</c:v>
                </c:pt>
                <c:pt idx="16">
                  <c:v>41306</c:v>
                </c:pt>
                <c:pt idx="17">
                  <c:v>41334</c:v>
                </c:pt>
                <c:pt idx="18">
                  <c:v>41365</c:v>
                </c:pt>
                <c:pt idx="19">
                  <c:v>41395</c:v>
                </c:pt>
                <c:pt idx="20">
                  <c:v>41426</c:v>
                </c:pt>
                <c:pt idx="21">
                  <c:v>41456</c:v>
                </c:pt>
                <c:pt idx="22">
                  <c:v>41487</c:v>
                </c:pt>
                <c:pt idx="23">
                  <c:v>41518</c:v>
                </c:pt>
                <c:pt idx="24">
                  <c:v>41548</c:v>
                </c:pt>
                <c:pt idx="25">
                  <c:v>41579</c:v>
                </c:pt>
                <c:pt idx="26">
                  <c:v>41609</c:v>
                </c:pt>
                <c:pt idx="27">
                  <c:v>41640</c:v>
                </c:pt>
                <c:pt idx="28">
                  <c:v>41671</c:v>
                </c:pt>
                <c:pt idx="29">
                  <c:v>41699</c:v>
                </c:pt>
                <c:pt idx="30">
                  <c:v>41730</c:v>
                </c:pt>
                <c:pt idx="31">
                  <c:v>41760</c:v>
                </c:pt>
                <c:pt idx="32">
                  <c:v>41791</c:v>
                </c:pt>
                <c:pt idx="33">
                  <c:v>41821</c:v>
                </c:pt>
                <c:pt idx="34">
                  <c:v>41852</c:v>
                </c:pt>
                <c:pt idx="35">
                  <c:v>41883</c:v>
                </c:pt>
                <c:pt idx="36">
                  <c:v>41913</c:v>
                </c:pt>
                <c:pt idx="37">
                  <c:v>41944</c:v>
                </c:pt>
                <c:pt idx="38">
                  <c:v>41974</c:v>
                </c:pt>
                <c:pt idx="39">
                  <c:v>42005</c:v>
                </c:pt>
                <c:pt idx="40">
                  <c:v>42036</c:v>
                </c:pt>
                <c:pt idx="41">
                  <c:v>42064</c:v>
                </c:pt>
                <c:pt idx="42">
                  <c:v>42095</c:v>
                </c:pt>
                <c:pt idx="43">
                  <c:v>42125</c:v>
                </c:pt>
                <c:pt idx="44">
                  <c:v>42156</c:v>
                </c:pt>
                <c:pt idx="45">
                  <c:v>42186</c:v>
                </c:pt>
                <c:pt idx="46">
                  <c:v>42217</c:v>
                </c:pt>
                <c:pt idx="47">
                  <c:v>42248</c:v>
                </c:pt>
                <c:pt idx="48">
                  <c:v>42278</c:v>
                </c:pt>
                <c:pt idx="49">
                  <c:v>42309</c:v>
                </c:pt>
                <c:pt idx="50">
                  <c:v>42339</c:v>
                </c:pt>
                <c:pt idx="51">
                  <c:v>42370</c:v>
                </c:pt>
                <c:pt idx="52">
                  <c:v>42401</c:v>
                </c:pt>
                <c:pt idx="53">
                  <c:v>42430</c:v>
                </c:pt>
                <c:pt idx="54">
                  <c:v>42461</c:v>
                </c:pt>
                <c:pt idx="55">
                  <c:v>42491</c:v>
                </c:pt>
                <c:pt idx="56">
                  <c:v>42522</c:v>
                </c:pt>
                <c:pt idx="57">
                  <c:v>42552</c:v>
                </c:pt>
                <c:pt idx="58">
                  <c:v>42583</c:v>
                </c:pt>
                <c:pt idx="59">
                  <c:v>42614</c:v>
                </c:pt>
                <c:pt idx="60">
                  <c:v>42644</c:v>
                </c:pt>
                <c:pt idx="61">
                  <c:v>42675</c:v>
                </c:pt>
                <c:pt idx="62">
                  <c:v>42705</c:v>
                </c:pt>
              </c:numCache>
            </c:numRef>
          </c:cat>
          <c:val>
            <c:numRef>
              <c:f>'IP GASOLINA'!$G$40:$G$102</c:f>
              <c:numCache>
                <c:formatCode>0.00%</c:formatCode>
                <c:ptCount val="63"/>
                <c:pt idx="0">
                  <c:v>0</c:v>
                </c:pt>
                <c:pt idx="1">
                  <c:v>1.8215722537272994E-2</c:v>
                </c:pt>
                <c:pt idx="2">
                  <c:v>0</c:v>
                </c:pt>
                <c:pt idx="3">
                  <c:v>5.2143747162005649E-3</c:v>
                </c:pt>
                <c:pt idx="4">
                  <c:v>2.9997859130806992E-2</c:v>
                </c:pt>
                <c:pt idx="5">
                  <c:v>3.0001330251583802E-2</c:v>
                </c:pt>
                <c:pt idx="6">
                  <c:v>2.9999233169069939E-2</c:v>
                </c:pt>
                <c:pt idx="7">
                  <c:v>0</c:v>
                </c:pt>
                <c:pt idx="8">
                  <c:v>0</c:v>
                </c:pt>
                <c:pt idx="9">
                  <c:v>-2.9999294687429012E-2</c:v>
                </c:pt>
                <c:pt idx="10">
                  <c:v>-2.9999999999999916E-2</c:v>
                </c:pt>
                <c:pt idx="11">
                  <c:v>0</c:v>
                </c:pt>
                <c:pt idx="12">
                  <c:v>2.9999146272647215E-2</c:v>
                </c:pt>
                <c:pt idx="13">
                  <c:v>2.0139329713294574E-2</c:v>
                </c:pt>
                <c:pt idx="14">
                  <c:v>-2.999904878164783E-2</c:v>
                </c:pt>
                <c:pt idx="15">
                  <c:v>-2.9999305382468755E-2</c:v>
                </c:pt>
                <c:pt idx="16">
                  <c:v>0</c:v>
                </c:pt>
                <c:pt idx="17">
                  <c:v>3.0000379111783326E-2</c:v>
                </c:pt>
                <c:pt idx="18">
                  <c:v>2.9999713723677823E-2</c:v>
                </c:pt>
                <c:pt idx="19">
                  <c:v>0</c:v>
                </c:pt>
                <c:pt idx="20">
                  <c:v>-2.3577105034851553E-2</c:v>
                </c:pt>
                <c:pt idx="21">
                  <c:v>0</c:v>
                </c:pt>
                <c:pt idx="22">
                  <c:v>0</c:v>
                </c:pt>
                <c:pt idx="23">
                  <c:v>7.6245392236806708E-4</c:v>
                </c:pt>
                <c:pt idx="24">
                  <c:v>8.4720280856864782E-4</c:v>
                </c:pt>
                <c:pt idx="25">
                  <c:v>-3.004313625983257E-2</c:v>
                </c:pt>
                <c:pt idx="26">
                  <c:v>-3.0000523204101959E-2</c:v>
                </c:pt>
                <c:pt idx="27">
                  <c:v>-2.1143929750370161E-3</c:v>
                </c:pt>
                <c:pt idx="28">
                  <c:v>4.7023848133013191E-2</c:v>
                </c:pt>
                <c:pt idx="29">
                  <c:v>0</c:v>
                </c:pt>
                <c:pt idx="30">
                  <c:v>2.20130136972152E-3</c:v>
                </c:pt>
                <c:pt idx="31">
                  <c:v>0</c:v>
                </c:pt>
                <c:pt idx="32">
                  <c:v>4.5165610673261192E-3</c:v>
                </c:pt>
                <c:pt idx="33">
                  <c:v>3.0001005093155841E-2</c:v>
                </c:pt>
                <c:pt idx="34">
                  <c:v>1.6927448953762969E-4</c:v>
                </c:pt>
                <c:pt idx="35">
                  <c:v>0</c:v>
                </c:pt>
                <c:pt idx="36">
                  <c:v>2.8035075702668166E-3</c:v>
                </c:pt>
                <c:pt idx="37">
                  <c:v>-2.9999841155119777E-2</c:v>
                </c:pt>
                <c:pt idx="38">
                  <c:v>-3.000038892425605E-2</c:v>
                </c:pt>
                <c:pt idx="39">
                  <c:v>-2.9999725663735433E-2</c:v>
                </c:pt>
                <c:pt idx="40">
                  <c:v>-5.0083214584851654E-2</c:v>
                </c:pt>
                <c:pt idx="41">
                  <c:v>-7.8037899018399859E-2</c:v>
                </c:pt>
                <c:pt idx="42">
                  <c:v>-8.2298290937996565E-3</c:v>
                </c:pt>
                <c:pt idx="43">
                  <c:v>8.9618707216334581E-3</c:v>
                </c:pt>
                <c:pt idx="44">
                  <c:v>3.0000620616893237E-2</c:v>
                </c:pt>
                <c:pt idx="45">
                  <c:v>2.9999276951627962E-2</c:v>
                </c:pt>
                <c:pt idx="46">
                  <c:v>0</c:v>
                </c:pt>
                <c:pt idx="47">
                  <c:v>-2.9998338625551901E-2</c:v>
                </c:pt>
                <c:pt idx="48">
                  <c:v>-3.0002146973611477E-2</c:v>
                </c:pt>
                <c:pt idx="49">
                  <c:v>-3.0000000000000027E-2</c:v>
                </c:pt>
                <c:pt idx="50">
                  <c:v>-2.9999717975474072E-2</c:v>
                </c:pt>
                <c:pt idx="51">
                  <c:v>-5.5241901378677571E-4</c:v>
                </c:pt>
                <c:pt idx="52">
                  <c:v>-6.7043612331306623E-2</c:v>
                </c:pt>
                <c:pt idx="53">
                  <c:v>-2.999920629521291E-2</c:v>
                </c:pt>
                <c:pt idx="54">
                  <c:v>0</c:v>
                </c:pt>
                <c:pt idx="55">
                  <c:v>6.0898381907286359E-2</c:v>
                </c:pt>
                <c:pt idx="56">
                  <c:v>0</c:v>
                </c:pt>
                <c:pt idx="57">
                  <c:v>0</c:v>
                </c:pt>
                <c:pt idx="58">
                  <c:v>0</c:v>
                </c:pt>
                <c:pt idx="59">
                  <c:v>3.0000110183124207E-2</c:v>
                </c:pt>
                <c:pt idx="60">
                  <c:v>0</c:v>
                </c:pt>
                <c:pt idx="61">
                  <c:v>0</c:v>
                </c:pt>
                <c:pt idx="62">
                  <c:v>3.0000829047691635E-2</c:v>
                </c:pt>
              </c:numCache>
            </c:numRef>
          </c:val>
          <c:smooth val="0"/>
          <c:extLst xmlns:c16r2="http://schemas.microsoft.com/office/drawing/2015/06/chart">
            <c:ext xmlns:c16="http://schemas.microsoft.com/office/drawing/2014/chart" uri="{C3380CC4-5D6E-409C-BE32-E72D297353CC}">
              <c16:uniqueId val="{00000000-660B-AB48-A3E7-CC2A2463B1F0}"/>
            </c:ext>
          </c:extLst>
        </c:ser>
        <c:ser>
          <c:idx val="1"/>
          <c:order val="1"/>
          <c:tx>
            <c:strRef>
              <c:f>'IP GASOLINA'!$H$39</c:f>
              <c:strCache>
                <c:ptCount val="1"/>
              </c:strCache>
            </c:strRef>
          </c:tx>
          <c:spPr>
            <a:ln w="28575">
              <a:solidFill>
                <a:schemeClr val="tx1"/>
              </a:solidFill>
            </a:ln>
          </c:spPr>
          <c:marker>
            <c:symbol val="none"/>
          </c:marker>
          <c:cat>
            <c:numRef>
              <c:f>'IP GASOLINA'!$E$40:$E$102</c:f>
              <c:numCache>
                <c:formatCode>mmm\-yy</c:formatCode>
                <c:ptCount val="63"/>
                <c:pt idx="0">
                  <c:v>40817</c:v>
                </c:pt>
                <c:pt idx="1">
                  <c:v>40848</c:v>
                </c:pt>
                <c:pt idx="2">
                  <c:v>40878</c:v>
                </c:pt>
                <c:pt idx="3">
                  <c:v>40909</c:v>
                </c:pt>
                <c:pt idx="4">
                  <c:v>40940</c:v>
                </c:pt>
                <c:pt idx="5">
                  <c:v>40969</c:v>
                </c:pt>
                <c:pt idx="6">
                  <c:v>41000</c:v>
                </c:pt>
                <c:pt idx="7">
                  <c:v>41030</c:v>
                </c:pt>
                <c:pt idx="8">
                  <c:v>41061</c:v>
                </c:pt>
                <c:pt idx="9">
                  <c:v>41091</c:v>
                </c:pt>
                <c:pt idx="10">
                  <c:v>41122</c:v>
                </c:pt>
                <c:pt idx="11">
                  <c:v>41153</c:v>
                </c:pt>
                <c:pt idx="12">
                  <c:v>41183</c:v>
                </c:pt>
                <c:pt idx="13">
                  <c:v>41214</c:v>
                </c:pt>
                <c:pt idx="14">
                  <c:v>41244</c:v>
                </c:pt>
                <c:pt idx="15">
                  <c:v>41275</c:v>
                </c:pt>
                <c:pt idx="16">
                  <c:v>41306</c:v>
                </c:pt>
                <c:pt idx="17">
                  <c:v>41334</c:v>
                </c:pt>
                <c:pt idx="18">
                  <c:v>41365</c:v>
                </c:pt>
                <c:pt idx="19">
                  <c:v>41395</c:v>
                </c:pt>
                <c:pt idx="20">
                  <c:v>41426</c:v>
                </c:pt>
                <c:pt idx="21">
                  <c:v>41456</c:v>
                </c:pt>
                <c:pt idx="22">
                  <c:v>41487</c:v>
                </c:pt>
                <c:pt idx="23">
                  <c:v>41518</c:v>
                </c:pt>
                <c:pt idx="24">
                  <c:v>41548</c:v>
                </c:pt>
                <c:pt idx="25">
                  <c:v>41579</c:v>
                </c:pt>
                <c:pt idx="26">
                  <c:v>41609</c:v>
                </c:pt>
                <c:pt idx="27">
                  <c:v>41640</c:v>
                </c:pt>
                <c:pt idx="28">
                  <c:v>41671</c:v>
                </c:pt>
                <c:pt idx="29">
                  <c:v>41699</c:v>
                </c:pt>
                <c:pt idx="30">
                  <c:v>41730</c:v>
                </c:pt>
                <c:pt idx="31">
                  <c:v>41760</c:v>
                </c:pt>
                <c:pt idx="32">
                  <c:v>41791</c:v>
                </c:pt>
                <c:pt idx="33">
                  <c:v>41821</c:v>
                </c:pt>
                <c:pt idx="34">
                  <c:v>41852</c:v>
                </c:pt>
                <c:pt idx="35">
                  <c:v>41883</c:v>
                </c:pt>
                <c:pt idx="36">
                  <c:v>41913</c:v>
                </c:pt>
                <c:pt idx="37">
                  <c:v>41944</c:v>
                </c:pt>
                <c:pt idx="38">
                  <c:v>41974</c:v>
                </c:pt>
                <c:pt idx="39">
                  <c:v>42005</c:v>
                </c:pt>
                <c:pt idx="40">
                  <c:v>42036</c:v>
                </c:pt>
                <c:pt idx="41">
                  <c:v>42064</c:v>
                </c:pt>
                <c:pt idx="42">
                  <c:v>42095</c:v>
                </c:pt>
                <c:pt idx="43">
                  <c:v>42125</c:v>
                </c:pt>
                <c:pt idx="44">
                  <c:v>42156</c:v>
                </c:pt>
                <c:pt idx="45">
                  <c:v>42186</c:v>
                </c:pt>
                <c:pt idx="46">
                  <c:v>42217</c:v>
                </c:pt>
                <c:pt idx="47">
                  <c:v>42248</c:v>
                </c:pt>
                <c:pt idx="48">
                  <c:v>42278</c:v>
                </c:pt>
                <c:pt idx="49">
                  <c:v>42309</c:v>
                </c:pt>
                <c:pt idx="50">
                  <c:v>42339</c:v>
                </c:pt>
                <c:pt idx="51">
                  <c:v>42370</c:v>
                </c:pt>
                <c:pt idx="52">
                  <c:v>42401</c:v>
                </c:pt>
                <c:pt idx="53">
                  <c:v>42430</c:v>
                </c:pt>
                <c:pt idx="54">
                  <c:v>42461</c:v>
                </c:pt>
                <c:pt idx="55">
                  <c:v>42491</c:v>
                </c:pt>
                <c:pt idx="56">
                  <c:v>42522</c:v>
                </c:pt>
                <c:pt idx="57">
                  <c:v>42552</c:v>
                </c:pt>
                <c:pt idx="58">
                  <c:v>42583</c:v>
                </c:pt>
                <c:pt idx="59">
                  <c:v>42614</c:v>
                </c:pt>
                <c:pt idx="60">
                  <c:v>42644</c:v>
                </c:pt>
                <c:pt idx="61">
                  <c:v>42675</c:v>
                </c:pt>
                <c:pt idx="62">
                  <c:v>42705</c:v>
                </c:pt>
              </c:numCache>
            </c:numRef>
          </c:cat>
          <c:val>
            <c:numRef>
              <c:f>'IP GASOLINA'!$H$40:$H$102</c:f>
              <c:numCache>
                <c:formatCode>0.00%</c:formatCode>
                <c:ptCount val="63"/>
                <c:pt idx="0">
                  <c:v>0.03</c:v>
                </c:pt>
                <c:pt idx="1">
                  <c:v>0.03</c:v>
                </c:pt>
                <c:pt idx="2">
                  <c:v>0.03</c:v>
                </c:pt>
                <c:pt idx="3">
                  <c:v>0.03</c:v>
                </c:pt>
                <c:pt idx="4">
                  <c:v>0.03</c:v>
                </c:pt>
                <c:pt idx="5">
                  <c:v>0.03</c:v>
                </c:pt>
                <c:pt idx="6">
                  <c:v>0.03</c:v>
                </c:pt>
                <c:pt idx="7">
                  <c:v>0.03</c:v>
                </c:pt>
                <c:pt idx="8">
                  <c:v>0.03</c:v>
                </c:pt>
                <c:pt idx="9">
                  <c:v>0.03</c:v>
                </c:pt>
                <c:pt idx="10">
                  <c:v>0.03</c:v>
                </c:pt>
                <c:pt idx="11">
                  <c:v>0.03</c:v>
                </c:pt>
                <c:pt idx="12">
                  <c:v>0.03</c:v>
                </c:pt>
                <c:pt idx="13">
                  <c:v>0.03</c:v>
                </c:pt>
                <c:pt idx="14">
                  <c:v>0.03</c:v>
                </c:pt>
                <c:pt idx="15">
                  <c:v>0.03</c:v>
                </c:pt>
                <c:pt idx="16">
                  <c:v>0.03</c:v>
                </c:pt>
                <c:pt idx="17">
                  <c:v>0.03</c:v>
                </c:pt>
                <c:pt idx="18">
                  <c:v>0.03</c:v>
                </c:pt>
                <c:pt idx="19">
                  <c:v>0.03</c:v>
                </c:pt>
                <c:pt idx="20">
                  <c:v>0.03</c:v>
                </c:pt>
                <c:pt idx="21">
                  <c:v>0.03</c:v>
                </c:pt>
                <c:pt idx="22">
                  <c:v>0.03</c:v>
                </c:pt>
                <c:pt idx="23">
                  <c:v>0.03</c:v>
                </c:pt>
                <c:pt idx="24">
                  <c:v>0.03</c:v>
                </c:pt>
                <c:pt idx="25">
                  <c:v>0.03</c:v>
                </c:pt>
                <c:pt idx="26">
                  <c:v>0.03</c:v>
                </c:pt>
                <c:pt idx="27">
                  <c:v>0.03</c:v>
                </c:pt>
                <c:pt idx="28">
                  <c:v>0.03</c:v>
                </c:pt>
                <c:pt idx="29">
                  <c:v>0.03</c:v>
                </c:pt>
                <c:pt idx="30">
                  <c:v>0.03</c:v>
                </c:pt>
                <c:pt idx="31">
                  <c:v>0.03</c:v>
                </c:pt>
                <c:pt idx="32">
                  <c:v>0.03</c:v>
                </c:pt>
                <c:pt idx="33">
                  <c:v>0.03</c:v>
                </c:pt>
                <c:pt idx="34">
                  <c:v>0.03</c:v>
                </c:pt>
                <c:pt idx="35">
                  <c:v>0.03</c:v>
                </c:pt>
                <c:pt idx="36">
                  <c:v>0.03</c:v>
                </c:pt>
                <c:pt idx="37">
                  <c:v>0.03</c:v>
                </c:pt>
                <c:pt idx="38">
                  <c:v>0.03</c:v>
                </c:pt>
                <c:pt idx="39">
                  <c:v>0.03</c:v>
                </c:pt>
                <c:pt idx="40">
                  <c:v>0.03</c:v>
                </c:pt>
                <c:pt idx="41">
                  <c:v>0.03</c:v>
                </c:pt>
                <c:pt idx="42">
                  <c:v>0.03</c:v>
                </c:pt>
                <c:pt idx="43">
                  <c:v>0.03</c:v>
                </c:pt>
                <c:pt idx="44">
                  <c:v>0.03</c:v>
                </c:pt>
                <c:pt idx="45">
                  <c:v>0.03</c:v>
                </c:pt>
                <c:pt idx="46">
                  <c:v>0.03</c:v>
                </c:pt>
                <c:pt idx="47">
                  <c:v>0.03</c:v>
                </c:pt>
                <c:pt idx="48">
                  <c:v>0.03</c:v>
                </c:pt>
                <c:pt idx="49">
                  <c:v>0.03</c:v>
                </c:pt>
                <c:pt idx="50">
                  <c:v>0.03</c:v>
                </c:pt>
                <c:pt idx="51">
                  <c:v>0.03</c:v>
                </c:pt>
                <c:pt idx="52">
                  <c:v>0.03</c:v>
                </c:pt>
                <c:pt idx="53">
                  <c:v>0.03</c:v>
                </c:pt>
                <c:pt idx="54">
                  <c:v>0.03</c:v>
                </c:pt>
                <c:pt idx="55">
                  <c:v>0.03</c:v>
                </c:pt>
                <c:pt idx="56">
                  <c:v>0.03</c:v>
                </c:pt>
                <c:pt idx="57">
                  <c:v>0.03</c:v>
                </c:pt>
                <c:pt idx="58">
                  <c:v>0.03</c:v>
                </c:pt>
                <c:pt idx="59">
                  <c:v>0.03</c:v>
                </c:pt>
                <c:pt idx="60">
                  <c:v>0.03</c:v>
                </c:pt>
                <c:pt idx="61">
                  <c:v>0.03</c:v>
                </c:pt>
                <c:pt idx="62">
                  <c:v>0.03</c:v>
                </c:pt>
              </c:numCache>
            </c:numRef>
          </c:val>
          <c:smooth val="0"/>
          <c:extLst xmlns:c16r2="http://schemas.microsoft.com/office/drawing/2015/06/chart">
            <c:ext xmlns:c16="http://schemas.microsoft.com/office/drawing/2014/chart" uri="{C3380CC4-5D6E-409C-BE32-E72D297353CC}">
              <c16:uniqueId val="{00000001-660B-AB48-A3E7-CC2A2463B1F0}"/>
            </c:ext>
          </c:extLst>
        </c:ser>
        <c:ser>
          <c:idx val="2"/>
          <c:order val="2"/>
          <c:tx>
            <c:strRef>
              <c:f>'IP GASOLINA'!$I$39</c:f>
              <c:strCache>
                <c:ptCount val="1"/>
                <c:pt idx="0">
                  <c:v>Banda +/- 3%</c:v>
                </c:pt>
              </c:strCache>
            </c:strRef>
          </c:tx>
          <c:spPr>
            <a:ln w="28575">
              <a:solidFill>
                <a:schemeClr val="tx1"/>
              </a:solidFill>
            </a:ln>
          </c:spPr>
          <c:marker>
            <c:symbol val="none"/>
          </c:marker>
          <c:cat>
            <c:numRef>
              <c:f>'IP GASOLINA'!$E$40:$E$102</c:f>
              <c:numCache>
                <c:formatCode>mmm\-yy</c:formatCode>
                <c:ptCount val="63"/>
                <c:pt idx="0">
                  <c:v>40817</c:v>
                </c:pt>
                <c:pt idx="1">
                  <c:v>40848</c:v>
                </c:pt>
                <c:pt idx="2">
                  <c:v>40878</c:v>
                </c:pt>
                <c:pt idx="3">
                  <c:v>40909</c:v>
                </c:pt>
                <c:pt idx="4">
                  <c:v>40940</c:v>
                </c:pt>
                <c:pt idx="5">
                  <c:v>40969</c:v>
                </c:pt>
                <c:pt idx="6">
                  <c:v>41000</c:v>
                </c:pt>
                <c:pt idx="7">
                  <c:v>41030</c:v>
                </c:pt>
                <c:pt idx="8">
                  <c:v>41061</c:v>
                </c:pt>
                <c:pt idx="9">
                  <c:v>41091</c:v>
                </c:pt>
                <c:pt idx="10">
                  <c:v>41122</c:v>
                </c:pt>
                <c:pt idx="11">
                  <c:v>41153</c:v>
                </c:pt>
                <c:pt idx="12">
                  <c:v>41183</c:v>
                </c:pt>
                <c:pt idx="13">
                  <c:v>41214</c:v>
                </c:pt>
                <c:pt idx="14">
                  <c:v>41244</c:v>
                </c:pt>
                <c:pt idx="15">
                  <c:v>41275</c:v>
                </c:pt>
                <c:pt idx="16">
                  <c:v>41306</c:v>
                </c:pt>
                <c:pt idx="17">
                  <c:v>41334</c:v>
                </c:pt>
                <c:pt idx="18">
                  <c:v>41365</c:v>
                </c:pt>
                <c:pt idx="19">
                  <c:v>41395</c:v>
                </c:pt>
                <c:pt idx="20">
                  <c:v>41426</c:v>
                </c:pt>
                <c:pt idx="21">
                  <c:v>41456</c:v>
                </c:pt>
                <c:pt idx="22">
                  <c:v>41487</c:v>
                </c:pt>
                <c:pt idx="23">
                  <c:v>41518</c:v>
                </c:pt>
                <c:pt idx="24">
                  <c:v>41548</c:v>
                </c:pt>
                <c:pt idx="25">
                  <c:v>41579</c:v>
                </c:pt>
                <c:pt idx="26">
                  <c:v>41609</c:v>
                </c:pt>
                <c:pt idx="27">
                  <c:v>41640</c:v>
                </c:pt>
                <c:pt idx="28">
                  <c:v>41671</c:v>
                </c:pt>
                <c:pt idx="29">
                  <c:v>41699</c:v>
                </c:pt>
                <c:pt idx="30">
                  <c:v>41730</c:v>
                </c:pt>
                <c:pt idx="31">
                  <c:v>41760</c:v>
                </c:pt>
                <c:pt idx="32">
                  <c:v>41791</c:v>
                </c:pt>
                <c:pt idx="33">
                  <c:v>41821</c:v>
                </c:pt>
                <c:pt idx="34">
                  <c:v>41852</c:v>
                </c:pt>
                <c:pt idx="35">
                  <c:v>41883</c:v>
                </c:pt>
                <c:pt idx="36">
                  <c:v>41913</c:v>
                </c:pt>
                <c:pt idx="37">
                  <c:v>41944</c:v>
                </c:pt>
                <c:pt idx="38">
                  <c:v>41974</c:v>
                </c:pt>
                <c:pt idx="39">
                  <c:v>42005</c:v>
                </c:pt>
                <c:pt idx="40">
                  <c:v>42036</c:v>
                </c:pt>
                <c:pt idx="41">
                  <c:v>42064</c:v>
                </c:pt>
                <c:pt idx="42">
                  <c:v>42095</c:v>
                </c:pt>
                <c:pt idx="43">
                  <c:v>42125</c:v>
                </c:pt>
                <c:pt idx="44">
                  <c:v>42156</c:v>
                </c:pt>
                <c:pt idx="45">
                  <c:v>42186</c:v>
                </c:pt>
                <c:pt idx="46">
                  <c:v>42217</c:v>
                </c:pt>
                <c:pt idx="47">
                  <c:v>42248</c:v>
                </c:pt>
                <c:pt idx="48">
                  <c:v>42278</c:v>
                </c:pt>
                <c:pt idx="49">
                  <c:v>42309</c:v>
                </c:pt>
                <c:pt idx="50">
                  <c:v>42339</c:v>
                </c:pt>
                <c:pt idx="51">
                  <c:v>42370</c:v>
                </c:pt>
                <c:pt idx="52">
                  <c:v>42401</c:v>
                </c:pt>
                <c:pt idx="53">
                  <c:v>42430</c:v>
                </c:pt>
                <c:pt idx="54">
                  <c:v>42461</c:v>
                </c:pt>
                <c:pt idx="55">
                  <c:v>42491</c:v>
                </c:pt>
                <c:pt idx="56">
                  <c:v>42522</c:v>
                </c:pt>
                <c:pt idx="57">
                  <c:v>42552</c:v>
                </c:pt>
                <c:pt idx="58">
                  <c:v>42583</c:v>
                </c:pt>
                <c:pt idx="59">
                  <c:v>42614</c:v>
                </c:pt>
                <c:pt idx="60">
                  <c:v>42644</c:v>
                </c:pt>
                <c:pt idx="61">
                  <c:v>42675</c:v>
                </c:pt>
                <c:pt idx="62">
                  <c:v>42705</c:v>
                </c:pt>
              </c:numCache>
            </c:numRef>
          </c:cat>
          <c:val>
            <c:numRef>
              <c:f>'IP GASOLINA'!$I$40:$I$102</c:f>
              <c:numCache>
                <c:formatCode>0.00%</c:formatCode>
                <c:ptCount val="63"/>
                <c:pt idx="0">
                  <c:v>-0.03</c:v>
                </c:pt>
                <c:pt idx="1">
                  <c:v>-0.03</c:v>
                </c:pt>
                <c:pt idx="2">
                  <c:v>-0.03</c:v>
                </c:pt>
                <c:pt idx="3">
                  <c:v>-0.03</c:v>
                </c:pt>
                <c:pt idx="4">
                  <c:v>-0.03</c:v>
                </c:pt>
                <c:pt idx="5">
                  <c:v>-0.03</c:v>
                </c:pt>
                <c:pt idx="6">
                  <c:v>-0.03</c:v>
                </c:pt>
                <c:pt idx="7">
                  <c:v>-0.03</c:v>
                </c:pt>
                <c:pt idx="8">
                  <c:v>-0.03</c:v>
                </c:pt>
                <c:pt idx="9">
                  <c:v>-0.03</c:v>
                </c:pt>
                <c:pt idx="10">
                  <c:v>-0.03</c:v>
                </c:pt>
                <c:pt idx="11">
                  <c:v>-0.03</c:v>
                </c:pt>
                <c:pt idx="12">
                  <c:v>-0.03</c:v>
                </c:pt>
                <c:pt idx="13">
                  <c:v>-0.03</c:v>
                </c:pt>
                <c:pt idx="14">
                  <c:v>-0.03</c:v>
                </c:pt>
                <c:pt idx="15">
                  <c:v>-0.03</c:v>
                </c:pt>
                <c:pt idx="16">
                  <c:v>-0.03</c:v>
                </c:pt>
                <c:pt idx="17">
                  <c:v>-0.03</c:v>
                </c:pt>
                <c:pt idx="18">
                  <c:v>-0.03</c:v>
                </c:pt>
                <c:pt idx="19">
                  <c:v>-0.03</c:v>
                </c:pt>
                <c:pt idx="20">
                  <c:v>-0.03</c:v>
                </c:pt>
                <c:pt idx="21">
                  <c:v>-0.03</c:v>
                </c:pt>
                <c:pt idx="22">
                  <c:v>-0.03</c:v>
                </c:pt>
                <c:pt idx="23">
                  <c:v>-0.03</c:v>
                </c:pt>
                <c:pt idx="24">
                  <c:v>-0.03</c:v>
                </c:pt>
                <c:pt idx="25">
                  <c:v>-0.03</c:v>
                </c:pt>
                <c:pt idx="26">
                  <c:v>-0.03</c:v>
                </c:pt>
                <c:pt idx="27">
                  <c:v>-0.03</c:v>
                </c:pt>
                <c:pt idx="28">
                  <c:v>-0.03</c:v>
                </c:pt>
                <c:pt idx="29">
                  <c:v>-0.03</c:v>
                </c:pt>
                <c:pt idx="30">
                  <c:v>-0.03</c:v>
                </c:pt>
                <c:pt idx="31">
                  <c:v>-0.03</c:v>
                </c:pt>
                <c:pt idx="32">
                  <c:v>-0.03</c:v>
                </c:pt>
                <c:pt idx="33">
                  <c:v>-0.03</c:v>
                </c:pt>
                <c:pt idx="34">
                  <c:v>-0.03</c:v>
                </c:pt>
                <c:pt idx="35">
                  <c:v>-0.03</c:v>
                </c:pt>
                <c:pt idx="36">
                  <c:v>-0.03</c:v>
                </c:pt>
                <c:pt idx="37">
                  <c:v>-0.03</c:v>
                </c:pt>
                <c:pt idx="38">
                  <c:v>-0.03</c:v>
                </c:pt>
                <c:pt idx="39">
                  <c:v>-0.03</c:v>
                </c:pt>
                <c:pt idx="40">
                  <c:v>-0.03</c:v>
                </c:pt>
                <c:pt idx="41">
                  <c:v>-0.03</c:v>
                </c:pt>
                <c:pt idx="42">
                  <c:v>-0.03</c:v>
                </c:pt>
                <c:pt idx="43">
                  <c:v>-0.03</c:v>
                </c:pt>
                <c:pt idx="44">
                  <c:v>-0.03</c:v>
                </c:pt>
                <c:pt idx="45">
                  <c:v>-0.03</c:v>
                </c:pt>
                <c:pt idx="46">
                  <c:v>-0.03</c:v>
                </c:pt>
                <c:pt idx="47">
                  <c:v>-0.03</c:v>
                </c:pt>
                <c:pt idx="48">
                  <c:v>-0.03</c:v>
                </c:pt>
                <c:pt idx="49">
                  <c:v>-0.03</c:v>
                </c:pt>
                <c:pt idx="50">
                  <c:v>-0.03</c:v>
                </c:pt>
                <c:pt idx="51">
                  <c:v>-0.03</c:v>
                </c:pt>
                <c:pt idx="52">
                  <c:v>-0.03</c:v>
                </c:pt>
                <c:pt idx="53">
                  <c:v>-0.03</c:v>
                </c:pt>
                <c:pt idx="54">
                  <c:v>-0.03</c:v>
                </c:pt>
                <c:pt idx="55">
                  <c:v>-0.03</c:v>
                </c:pt>
                <c:pt idx="56">
                  <c:v>-0.03</c:v>
                </c:pt>
                <c:pt idx="57">
                  <c:v>-0.03</c:v>
                </c:pt>
                <c:pt idx="58">
                  <c:v>-0.03</c:v>
                </c:pt>
                <c:pt idx="59">
                  <c:v>-0.03</c:v>
                </c:pt>
                <c:pt idx="60">
                  <c:v>-0.03</c:v>
                </c:pt>
                <c:pt idx="61">
                  <c:v>-0.03</c:v>
                </c:pt>
                <c:pt idx="62">
                  <c:v>-0.03</c:v>
                </c:pt>
              </c:numCache>
            </c:numRef>
          </c:val>
          <c:smooth val="0"/>
          <c:extLst xmlns:c16r2="http://schemas.microsoft.com/office/drawing/2015/06/chart">
            <c:ext xmlns:c16="http://schemas.microsoft.com/office/drawing/2014/chart" uri="{C3380CC4-5D6E-409C-BE32-E72D297353CC}">
              <c16:uniqueId val="{00000002-660B-AB48-A3E7-CC2A2463B1F0}"/>
            </c:ext>
          </c:extLst>
        </c:ser>
        <c:dLbls>
          <c:showLegendKey val="0"/>
          <c:showVal val="0"/>
          <c:showCatName val="0"/>
          <c:showSerName val="0"/>
          <c:showPercent val="0"/>
          <c:showBubbleSize val="0"/>
        </c:dLbls>
        <c:marker val="1"/>
        <c:smooth val="0"/>
        <c:axId val="81858944"/>
        <c:axId val="81860480"/>
      </c:lineChart>
      <c:dateAx>
        <c:axId val="81858944"/>
        <c:scaling>
          <c:orientation val="minMax"/>
        </c:scaling>
        <c:delete val="0"/>
        <c:axPos val="b"/>
        <c:numFmt formatCode="mmm\-yy" sourceLinked="1"/>
        <c:majorTickMark val="none"/>
        <c:minorTickMark val="none"/>
        <c:tickLblPos val="low"/>
        <c:crossAx val="81860480"/>
        <c:crosses val="autoZero"/>
        <c:auto val="1"/>
        <c:lblOffset val="100"/>
        <c:baseTimeUnit val="months"/>
      </c:dateAx>
      <c:valAx>
        <c:axId val="81860480"/>
        <c:scaling>
          <c:orientation val="minMax"/>
          <c:min val="-8.0000000000000016E-2"/>
        </c:scaling>
        <c:delete val="0"/>
        <c:axPos val="l"/>
        <c:majorGridlines>
          <c:spPr>
            <a:ln>
              <a:noFill/>
            </a:ln>
          </c:spPr>
        </c:majorGridlines>
        <c:numFmt formatCode="0%" sourceLinked="0"/>
        <c:majorTickMark val="none"/>
        <c:minorTickMark val="none"/>
        <c:tickLblPos val="low"/>
        <c:spPr>
          <a:ln w="6350">
            <a:noFill/>
          </a:ln>
        </c:spPr>
        <c:txPr>
          <a:bodyPr/>
          <a:lstStyle/>
          <a:p>
            <a:pPr>
              <a:defRPr sz="900"/>
            </a:pPr>
            <a:endParaRPr lang="es-CO"/>
          </a:p>
        </c:txPr>
        <c:crossAx val="81858944"/>
        <c:crosses val="autoZero"/>
        <c:crossBetween val="between"/>
        <c:majorUnit val="1.0000000000000002E-2"/>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a:pPr>
            <a:r>
              <a:rPr lang="en-US" sz="1200" b="0"/>
              <a:t>Variación mensual (%) del IP ACPM</a:t>
            </a:r>
          </a:p>
        </c:rich>
      </c:tx>
      <c:overlay val="0"/>
    </c:title>
    <c:autoTitleDeleted val="0"/>
    <c:plotArea>
      <c:layout/>
      <c:lineChart>
        <c:grouping val="standard"/>
        <c:varyColors val="0"/>
        <c:ser>
          <c:idx val="0"/>
          <c:order val="0"/>
          <c:tx>
            <c:strRef>
              <c:f>'IP ACPM'!$G$48</c:f>
              <c:strCache>
                <c:ptCount val="1"/>
                <c:pt idx="0">
                  <c:v>Variación mensual (%) del IP ACPM</c:v>
                </c:pt>
              </c:strCache>
            </c:strRef>
          </c:tx>
          <c:spPr>
            <a:ln w="22225">
              <a:solidFill>
                <a:schemeClr val="bg1">
                  <a:lumMod val="65000"/>
                </a:schemeClr>
              </a:solidFill>
            </a:ln>
          </c:spPr>
          <c:marker>
            <c:symbol val="diamond"/>
            <c:size val="5"/>
            <c:spPr>
              <a:solidFill>
                <a:schemeClr val="accent1">
                  <a:lumMod val="75000"/>
                </a:schemeClr>
              </a:solidFill>
            </c:spPr>
          </c:marker>
          <c:cat>
            <c:numRef>
              <c:f>'IP ACPM'!$E$49:$E$100</c:f>
              <c:numCache>
                <c:formatCode>mmm\-yy</c:formatCode>
                <c:ptCount val="52"/>
                <c:pt idx="0">
                  <c:v>41153</c:v>
                </c:pt>
                <c:pt idx="1">
                  <c:v>41183</c:v>
                </c:pt>
                <c:pt idx="2">
                  <c:v>41214</c:v>
                </c:pt>
                <c:pt idx="3">
                  <c:v>41244</c:v>
                </c:pt>
                <c:pt idx="4">
                  <c:v>41275</c:v>
                </c:pt>
                <c:pt idx="5">
                  <c:v>41306</c:v>
                </c:pt>
                <c:pt idx="6">
                  <c:v>41334</c:v>
                </c:pt>
                <c:pt idx="7">
                  <c:v>41365</c:v>
                </c:pt>
                <c:pt idx="8">
                  <c:v>41395</c:v>
                </c:pt>
                <c:pt idx="9">
                  <c:v>41426</c:v>
                </c:pt>
                <c:pt idx="10">
                  <c:v>41456</c:v>
                </c:pt>
                <c:pt idx="11">
                  <c:v>41487</c:v>
                </c:pt>
                <c:pt idx="12">
                  <c:v>41518</c:v>
                </c:pt>
                <c:pt idx="13">
                  <c:v>41548</c:v>
                </c:pt>
                <c:pt idx="14">
                  <c:v>41579</c:v>
                </c:pt>
                <c:pt idx="15">
                  <c:v>41609</c:v>
                </c:pt>
                <c:pt idx="16">
                  <c:v>41640</c:v>
                </c:pt>
                <c:pt idx="17">
                  <c:v>41671</c:v>
                </c:pt>
                <c:pt idx="18">
                  <c:v>41699</c:v>
                </c:pt>
                <c:pt idx="19">
                  <c:v>41730</c:v>
                </c:pt>
                <c:pt idx="20">
                  <c:v>41760</c:v>
                </c:pt>
                <c:pt idx="21">
                  <c:v>41791</c:v>
                </c:pt>
                <c:pt idx="22">
                  <c:v>41821</c:v>
                </c:pt>
                <c:pt idx="23">
                  <c:v>41852</c:v>
                </c:pt>
                <c:pt idx="24">
                  <c:v>41883</c:v>
                </c:pt>
                <c:pt idx="25">
                  <c:v>41913</c:v>
                </c:pt>
                <c:pt idx="26">
                  <c:v>41944</c:v>
                </c:pt>
                <c:pt idx="27">
                  <c:v>41974</c:v>
                </c:pt>
                <c:pt idx="28">
                  <c:v>42005</c:v>
                </c:pt>
                <c:pt idx="29">
                  <c:v>42036</c:v>
                </c:pt>
                <c:pt idx="30">
                  <c:v>42064</c:v>
                </c:pt>
                <c:pt idx="31">
                  <c:v>42095</c:v>
                </c:pt>
                <c:pt idx="32">
                  <c:v>42125</c:v>
                </c:pt>
                <c:pt idx="33">
                  <c:v>42156</c:v>
                </c:pt>
                <c:pt idx="34">
                  <c:v>42186</c:v>
                </c:pt>
                <c:pt idx="35">
                  <c:v>42217</c:v>
                </c:pt>
                <c:pt idx="36">
                  <c:v>42248</c:v>
                </c:pt>
                <c:pt idx="37">
                  <c:v>42278</c:v>
                </c:pt>
                <c:pt idx="38">
                  <c:v>42309</c:v>
                </c:pt>
                <c:pt idx="39">
                  <c:v>42339</c:v>
                </c:pt>
                <c:pt idx="40">
                  <c:v>42370</c:v>
                </c:pt>
                <c:pt idx="41">
                  <c:v>42401</c:v>
                </c:pt>
                <c:pt idx="42">
                  <c:v>42430</c:v>
                </c:pt>
                <c:pt idx="43">
                  <c:v>42461</c:v>
                </c:pt>
                <c:pt idx="44">
                  <c:v>42491</c:v>
                </c:pt>
                <c:pt idx="45">
                  <c:v>42522</c:v>
                </c:pt>
                <c:pt idx="46">
                  <c:v>42552</c:v>
                </c:pt>
                <c:pt idx="47">
                  <c:v>42583</c:v>
                </c:pt>
                <c:pt idx="48">
                  <c:v>42614</c:v>
                </c:pt>
                <c:pt idx="49">
                  <c:v>42644</c:v>
                </c:pt>
                <c:pt idx="50">
                  <c:v>42675</c:v>
                </c:pt>
                <c:pt idx="51">
                  <c:v>42705</c:v>
                </c:pt>
              </c:numCache>
            </c:numRef>
          </c:cat>
          <c:val>
            <c:numRef>
              <c:f>'IP ACPM'!$G$49:$G$100</c:f>
              <c:numCache>
                <c:formatCode>0.00%</c:formatCode>
                <c:ptCount val="52"/>
                <c:pt idx="0">
                  <c:v>9.1326271918845681E-3</c:v>
                </c:pt>
                <c:pt idx="1">
                  <c:v>-8.3604062601096429E-2</c:v>
                </c:pt>
                <c:pt idx="2">
                  <c:v>0</c:v>
                </c:pt>
                <c:pt idx="3">
                  <c:v>0</c:v>
                </c:pt>
                <c:pt idx="4">
                  <c:v>0</c:v>
                </c:pt>
                <c:pt idx="5">
                  <c:v>-9.3582937092906437E-3</c:v>
                </c:pt>
                <c:pt idx="6">
                  <c:v>1.4904749828445141E-2</c:v>
                </c:pt>
                <c:pt idx="7">
                  <c:v>-3.8326917953569462E-3</c:v>
                </c:pt>
                <c:pt idx="8">
                  <c:v>-4.0108525044311949E-2</c:v>
                </c:pt>
                <c:pt idx="9">
                  <c:v>0</c:v>
                </c:pt>
                <c:pt idx="10">
                  <c:v>0</c:v>
                </c:pt>
                <c:pt idx="11">
                  <c:v>2.7999761736861473E-2</c:v>
                </c:pt>
                <c:pt idx="12">
                  <c:v>6.5027429650190705E-3</c:v>
                </c:pt>
                <c:pt idx="13">
                  <c:v>-5.3910608300339335E-3</c:v>
                </c:pt>
                <c:pt idx="14">
                  <c:v>-5.0057787710916513E-3</c:v>
                </c:pt>
                <c:pt idx="15">
                  <c:v>-4.7476074310377481E-3</c:v>
                </c:pt>
                <c:pt idx="16">
                  <c:v>2.1722571035315053E-2</c:v>
                </c:pt>
                <c:pt idx="17">
                  <c:v>0</c:v>
                </c:pt>
                <c:pt idx="18">
                  <c:v>0</c:v>
                </c:pt>
                <c:pt idx="19">
                  <c:v>0</c:v>
                </c:pt>
                <c:pt idx="20">
                  <c:v>0</c:v>
                </c:pt>
                <c:pt idx="21">
                  <c:v>1.1016975738663337E-2</c:v>
                </c:pt>
                <c:pt idx="22">
                  <c:v>4.1652901009563426E-3</c:v>
                </c:pt>
                <c:pt idx="23">
                  <c:v>5.5821849955375313E-3</c:v>
                </c:pt>
                <c:pt idx="24">
                  <c:v>0</c:v>
                </c:pt>
                <c:pt idx="25">
                  <c:v>-9.9961316958729896E-4</c:v>
                </c:pt>
                <c:pt idx="26">
                  <c:v>-2.8000890238319642E-2</c:v>
                </c:pt>
                <c:pt idx="27">
                  <c:v>-2.7999612797057205E-2</c:v>
                </c:pt>
                <c:pt idx="28">
                  <c:v>-2.7999885089390886E-2</c:v>
                </c:pt>
                <c:pt idx="29">
                  <c:v>-5.5004186985862735E-2</c:v>
                </c:pt>
                <c:pt idx="30">
                  <c:v>-6.7269379849002053E-2</c:v>
                </c:pt>
                <c:pt idx="31">
                  <c:v>-1.0508644315585736E-2</c:v>
                </c:pt>
                <c:pt idx="32">
                  <c:v>1.052536456980202E-2</c:v>
                </c:pt>
                <c:pt idx="33">
                  <c:v>2.7998855364584241E-2</c:v>
                </c:pt>
                <c:pt idx="34">
                  <c:v>0</c:v>
                </c:pt>
                <c:pt idx="35">
                  <c:v>-2.7999599850378809E-2</c:v>
                </c:pt>
                <c:pt idx="36">
                  <c:v>-2.3053878148261653E-2</c:v>
                </c:pt>
                <c:pt idx="37">
                  <c:v>3.3665484176077509E-3</c:v>
                </c:pt>
                <c:pt idx="38">
                  <c:v>-2.7999242215014486E-2</c:v>
                </c:pt>
                <c:pt idx="39">
                  <c:v>-2.8000338145646952E-2</c:v>
                </c:pt>
                <c:pt idx="40">
                  <c:v>-2.8000038654065307E-2</c:v>
                </c:pt>
                <c:pt idx="41">
                  <c:v>-6.2773091281459803E-2</c:v>
                </c:pt>
                <c:pt idx="42">
                  <c:v>0</c:v>
                </c:pt>
                <c:pt idx="43">
                  <c:v>0</c:v>
                </c:pt>
                <c:pt idx="44">
                  <c:v>1.7574426782503538E-2</c:v>
                </c:pt>
                <c:pt idx="45">
                  <c:v>0</c:v>
                </c:pt>
                <c:pt idx="46">
                  <c:v>0</c:v>
                </c:pt>
                <c:pt idx="47">
                  <c:v>0</c:v>
                </c:pt>
                <c:pt idx="48">
                  <c:v>2.8000385708961684E-2</c:v>
                </c:pt>
                <c:pt idx="49">
                  <c:v>0</c:v>
                </c:pt>
                <c:pt idx="50">
                  <c:v>1.3943359538398648E-2</c:v>
                </c:pt>
                <c:pt idx="51">
                  <c:v>0</c:v>
                </c:pt>
              </c:numCache>
            </c:numRef>
          </c:val>
          <c:smooth val="0"/>
          <c:extLst xmlns:c16r2="http://schemas.microsoft.com/office/drawing/2015/06/chart">
            <c:ext xmlns:c16="http://schemas.microsoft.com/office/drawing/2014/chart" uri="{C3380CC4-5D6E-409C-BE32-E72D297353CC}">
              <c16:uniqueId val="{00000000-D311-B648-9172-E09FCABF5A12}"/>
            </c:ext>
          </c:extLst>
        </c:ser>
        <c:ser>
          <c:idx val="1"/>
          <c:order val="1"/>
          <c:tx>
            <c:strRef>
              <c:f>'IP ACPM'!$H$48</c:f>
              <c:strCache>
                <c:ptCount val="1"/>
              </c:strCache>
            </c:strRef>
          </c:tx>
          <c:spPr>
            <a:ln w="28575">
              <a:solidFill>
                <a:schemeClr val="tx2">
                  <a:lumMod val="50000"/>
                </a:schemeClr>
              </a:solidFill>
            </a:ln>
          </c:spPr>
          <c:marker>
            <c:symbol val="none"/>
          </c:marker>
          <c:cat>
            <c:numRef>
              <c:f>'IP ACPM'!$E$49:$E$100</c:f>
              <c:numCache>
                <c:formatCode>mmm\-yy</c:formatCode>
                <c:ptCount val="52"/>
                <c:pt idx="0">
                  <c:v>41153</c:v>
                </c:pt>
                <c:pt idx="1">
                  <c:v>41183</c:v>
                </c:pt>
                <c:pt idx="2">
                  <c:v>41214</c:v>
                </c:pt>
                <c:pt idx="3">
                  <c:v>41244</c:v>
                </c:pt>
                <c:pt idx="4">
                  <c:v>41275</c:v>
                </c:pt>
                <c:pt idx="5">
                  <c:v>41306</c:v>
                </c:pt>
                <c:pt idx="6">
                  <c:v>41334</c:v>
                </c:pt>
                <c:pt idx="7">
                  <c:v>41365</c:v>
                </c:pt>
                <c:pt idx="8">
                  <c:v>41395</c:v>
                </c:pt>
                <c:pt idx="9">
                  <c:v>41426</c:v>
                </c:pt>
                <c:pt idx="10">
                  <c:v>41456</c:v>
                </c:pt>
                <c:pt idx="11">
                  <c:v>41487</c:v>
                </c:pt>
                <c:pt idx="12">
                  <c:v>41518</c:v>
                </c:pt>
                <c:pt idx="13">
                  <c:v>41548</c:v>
                </c:pt>
                <c:pt idx="14">
                  <c:v>41579</c:v>
                </c:pt>
                <c:pt idx="15">
                  <c:v>41609</c:v>
                </c:pt>
                <c:pt idx="16">
                  <c:v>41640</c:v>
                </c:pt>
                <c:pt idx="17">
                  <c:v>41671</c:v>
                </c:pt>
                <c:pt idx="18">
                  <c:v>41699</c:v>
                </c:pt>
                <c:pt idx="19">
                  <c:v>41730</c:v>
                </c:pt>
                <c:pt idx="20">
                  <c:v>41760</c:v>
                </c:pt>
                <c:pt idx="21">
                  <c:v>41791</c:v>
                </c:pt>
                <c:pt idx="22">
                  <c:v>41821</c:v>
                </c:pt>
                <c:pt idx="23">
                  <c:v>41852</c:v>
                </c:pt>
                <c:pt idx="24">
                  <c:v>41883</c:v>
                </c:pt>
                <c:pt idx="25">
                  <c:v>41913</c:v>
                </c:pt>
                <c:pt idx="26">
                  <c:v>41944</c:v>
                </c:pt>
                <c:pt idx="27">
                  <c:v>41974</c:v>
                </c:pt>
                <c:pt idx="28">
                  <c:v>42005</c:v>
                </c:pt>
                <c:pt idx="29">
                  <c:v>42036</c:v>
                </c:pt>
                <c:pt idx="30">
                  <c:v>42064</c:v>
                </c:pt>
                <c:pt idx="31">
                  <c:v>42095</c:v>
                </c:pt>
                <c:pt idx="32">
                  <c:v>42125</c:v>
                </c:pt>
                <c:pt idx="33">
                  <c:v>42156</c:v>
                </c:pt>
                <c:pt idx="34">
                  <c:v>42186</c:v>
                </c:pt>
                <c:pt idx="35">
                  <c:v>42217</c:v>
                </c:pt>
                <c:pt idx="36">
                  <c:v>42248</c:v>
                </c:pt>
                <c:pt idx="37">
                  <c:v>42278</c:v>
                </c:pt>
                <c:pt idx="38">
                  <c:v>42309</c:v>
                </c:pt>
                <c:pt idx="39">
                  <c:v>42339</c:v>
                </c:pt>
                <c:pt idx="40">
                  <c:v>42370</c:v>
                </c:pt>
                <c:pt idx="41">
                  <c:v>42401</c:v>
                </c:pt>
                <c:pt idx="42">
                  <c:v>42430</c:v>
                </c:pt>
                <c:pt idx="43">
                  <c:v>42461</c:v>
                </c:pt>
                <c:pt idx="44">
                  <c:v>42491</c:v>
                </c:pt>
                <c:pt idx="45">
                  <c:v>42522</c:v>
                </c:pt>
                <c:pt idx="46">
                  <c:v>42552</c:v>
                </c:pt>
                <c:pt idx="47">
                  <c:v>42583</c:v>
                </c:pt>
                <c:pt idx="48">
                  <c:v>42614</c:v>
                </c:pt>
                <c:pt idx="49">
                  <c:v>42644</c:v>
                </c:pt>
                <c:pt idx="50">
                  <c:v>42675</c:v>
                </c:pt>
                <c:pt idx="51">
                  <c:v>42705</c:v>
                </c:pt>
              </c:numCache>
            </c:numRef>
          </c:cat>
          <c:val>
            <c:numRef>
              <c:f>'IP ACPM'!$H$49:$H$100</c:f>
              <c:numCache>
                <c:formatCode>0.00%</c:formatCode>
                <c:ptCount val="52"/>
                <c:pt idx="0">
                  <c:v>2.8000000000000001E-2</c:v>
                </c:pt>
                <c:pt idx="1">
                  <c:v>2.8000000000000001E-2</c:v>
                </c:pt>
                <c:pt idx="2">
                  <c:v>2.8000000000000001E-2</c:v>
                </c:pt>
                <c:pt idx="3">
                  <c:v>2.8000000000000001E-2</c:v>
                </c:pt>
                <c:pt idx="4">
                  <c:v>2.8000000000000001E-2</c:v>
                </c:pt>
                <c:pt idx="5">
                  <c:v>2.8000000000000001E-2</c:v>
                </c:pt>
                <c:pt idx="6">
                  <c:v>2.8000000000000001E-2</c:v>
                </c:pt>
                <c:pt idx="7">
                  <c:v>2.8000000000000001E-2</c:v>
                </c:pt>
                <c:pt idx="8">
                  <c:v>2.8000000000000001E-2</c:v>
                </c:pt>
                <c:pt idx="9">
                  <c:v>2.8000000000000001E-2</c:v>
                </c:pt>
                <c:pt idx="10">
                  <c:v>2.8000000000000001E-2</c:v>
                </c:pt>
                <c:pt idx="11">
                  <c:v>2.8000000000000001E-2</c:v>
                </c:pt>
                <c:pt idx="12">
                  <c:v>2.8000000000000001E-2</c:v>
                </c:pt>
                <c:pt idx="13">
                  <c:v>2.8000000000000001E-2</c:v>
                </c:pt>
                <c:pt idx="14">
                  <c:v>2.8000000000000001E-2</c:v>
                </c:pt>
                <c:pt idx="15">
                  <c:v>2.8000000000000001E-2</c:v>
                </c:pt>
                <c:pt idx="16">
                  <c:v>2.8000000000000001E-2</c:v>
                </c:pt>
                <c:pt idx="17">
                  <c:v>2.8000000000000001E-2</c:v>
                </c:pt>
                <c:pt idx="18">
                  <c:v>2.8000000000000001E-2</c:v>
                </c:pt>
                <c:pt idx="19">
                  <c:v>2.8000000000000001E-2</c:v>
                </c:pt>
                <c:pt idx="20">
                  <c:v>2.8000000000000001E-2</c:v>
                </c:pt>
                <c:pt idx="21">
                  <c:v>2.8000000000000001E-2</c:v>
                </c:pt>
                <c:pt idx="22">
                  <c:v>2.8000000000000001E-2</c:v>
                </c:pt>
                <c:pt idx="23">
                  <c:v>2.8000000000000001E-2</c:v>
                </c:pt>
                <c:pt idx="24">
                  <c:v>2.8000000000000001E-2</c:v>
                </c:pt>
                <c:pt idx="25">
                  <c:v>2.8000000000000001E-2</c:v>
                </c:pt>
                <c:pt idx="26">
                  <c:v>2.8000000000000001E-2</c:v>
                </c:pt>
                <c:pt idx="27">
                  <c:v>2.8000000000000001E-2</c:v>
                </c:pt>
                <c:pt idx="28">
                  <c:v>2.8000000000000001E-2</c:v>
                </c:pt>
                <c:pt idx="29">
                  <c:v>2.8000000000000001E-2</c:v>
                </c:pt>
                <c:pt idx="30">
                  <c:v>2.8000000000000001E-2</c:v>
                </c:pt>
                <c:pt idx="31">
                  <c:v>2.8000000000000001E-2</c:v>
                </c:pt>
                <c:pt idx="32">
                  <c:v>2.8000000000000001E-2</c:v>
                </c:pt>
                <c:pt idx="33">
                  <c:v>2.8000000000000001E-2</c:v>
                </c:pt>
                <c:pt idx="34">
                  <c:v>2.8000000000000001E-2</c:v>
                </c:pt>
                <c:pt idx="35">
                  <c:v>2.8000000000000001E-2</c:v>
                </c:pt>
                <c:pt idx="36">
                  <c:v>2.8000000000000001E-2</c:v>
                </c:pt>
                <c:pt idx="37">
                  <c:v>2.8000000000000001E-2</c:v>
                </c:pt>
                <c:pt idx="38">
                  <c:v>2.8000000000000001E-2</c:v>
                </c:pt>
                <c:pt idx="39">
                  <c:v>2.8000000000000001E-2</c:v>
                </c:pt>
                <c:pt idx="40">
                  <c:v>2.8000000000000001E-2</c:v>
                </c:pt>
                <c:pt idx="41">
                  <c:v>2.8000000000000001E-2</c:v>
                </c:pt>
                <c:pt idx="42">
                  <c:v>2.8000000000000001E-2</c:v>
                </c:pt>
                <c:pt idx="43">
                  <c:v>2.8000000000000001E-2</c:v>
                </c:pt>
                <c:pt idx="44">
                  <c:v>2.8000000000000001E-2</c:v>
                </c:pt>
                <c:pt idx="45">
                  <c:v>2.8000000000000001E-2</c:v>
                </c:pt>
                <c:pt idx="46">
                  <c:v>2.8000000000000001E-2</c:v>
                </c:pt>
                <c:pt idx="47">
                  <c:v>2.8000000000000001E-2</c:v>
                </c:pt>
                <c:pt idx="48">
                  <c:v>2.8000000000000001E-2</c:v>
                </c:pt>
                <c:pt idx="49">
                  <c:v>2.8000000000000001E-2</c:v>
                </c:pt>
                <c:pt idx="50">
                  <c:v>2.8000000000000001E-2</c:v>
                </c:pt>
                <c:pt idx="51">
                  <c:v>2.8000000000000001E-2</c:v>
                </c:pt>
              </c:numCache>
            </c:numRef>
          </c:val>
          <c:smooth val="0"/>
          <c:extLst xmlns:c16r2="http://schemas.microsoft.com/office/drawing/2015/06/chart">
            <c:ext xmlns:c16="http://schemas.microsoft.com/office/drawing/2014/chart" uri="{C3380CC4-5D6E-409C-BE32-E72D297353CC}">
              <c16:uniqueId val="{00000001-D311-B648-9172-E09FCABF5A12}"/>
            </c:ext>
          </c:extLst>
        </c:ser>
        <c:ser>
          <c:idx val="2"/>
          <c:order val="2"/>
          <c:tx>
            <c:strRef>
              <c:f>'IP ACPM'!$I$48</c:f>
              <c:strCache>
                <c:ptCount val="1"/>
                <c:pt idx="0">
                  <c:v>Banda +/- 2,8%</c:v>
                </c:pt>
              </c:strCache>
            </c:strRef>
          </c:tx>
          <c:spPr>
            <a:ln w="28575">
              <a:solidFill>
                <a:schemeClr val="tx2">
                  <a:lumMod val="50000"/>
                </a:schemeClr>
              </a:solidFill>
            </a:ln>
          </c:spPr>
          <c:marker>
            <c:symbol val="none"/>
          </c:marker>
          <c:cat>
            <c:numRef>
              <c:f>'IP ACPM'!$E$49:$E$100</c:f>
              <c:numCache>
                <c:formatCode>mmm\-yy</c:formatCode>
                <c:ptCount val="52"/>
                <c:pt idx="0">
                  <c:v>41153</c:v>
                </c:pt>
                <c:pt idx="1">
                  <c:v>41183</c:v>
                </c:pt>
                <c:pt idx="2">
                  <c:v>41214</c:v>
                </c:pt>
                <c:pt idx="3">
                  <c:v>41244</c:v>
                </c:pt>
                <c:pt idx="4">
                  <c:v>41275</c:v>
                </c:pt>
                <c:pt idx="5">
                  <c:v>41306</c:v>
                </c:pt>
                <c:pt idx="6">
                  <c:v>41334</c:v>
                </c:pt>
                <c:pt idx="7">
                  <c:v>41365</c:v>
                </c:pt>
                <c:pt idx="8">
                  <c:v>41395</c:v>
                </c:pt>
                <c:pt idx="9">
                  <c:v>41426</c:v>
                </c:pt>
                <c:pt idx="10">
                  <c:v>41456</c:v>
                </c:pt>
                <c:pt idx="11">
                  <c:v>41487</c:v>
                </c:pt>
                <c:pt idx="12">
                  <c:v>41518</c:v>
                </c:pt>
                <c:pt idx="13">
                  <c:v>41548</c:v>
                </c:pt>
                <c:pt idx="14">
                  <c:v>41579</c:v>
                </c:pt>
                <c:pt idx="15">
                  <c:v>41609</c:v>
                </c:pt>
                <c:pt idx="16">
                  <c:v>41640</c:v>
                </c:pt>
                <c:pt idx="17">
                  <c:v>41671</c:v>
                </c:pt>
                <c:pt idx="18">
                  <c:v>41699</c:v>
                </c:pt>
                <c:pt idx="19">
                  <c:v>41730</c:v>
                </c:pt>
                <c:pt idx="20">
                  <c:v>41760</c:v>
                </c:pt>
                <c:pt idx="21">
                  <c:v>41791</c:v>
                </c:pt>
                <c:pt idx="22">
                  <c:v>41821</c:v>
                </c:pt>
                <c:pt idx="23">
                  <c:v>41852</c:v>
                </c:pt>
                <c:pt idx="24">
                  <c:v>41883</c:v>
                </c:pt>
                <c:pt idx="25">
                  <c:v>41913</c:v>
                </c:pt>
                <c:pt idx="26">
                  <c:v>41944</c:v>
                </c:pt>
                <c:pt idx="27">
                  <c:v>41974</c:v>
                </c:pt>
                <c:pt idx="28">
                  <c:v>42005</c:v>
                </c:pt>
                <c:pt idx="29">
                  <c:v>42036</c:v>
                </c:pt>
                <c:pt idx="30">
                  <c:v>42064</c:v>
                </c:pt>
                <c:pt idx="31">
                  <c:v>42095</c:v>
                </c:pt>
                <c:pt idx="32">
                  <c:v>42125</c:v>
                </c:pt>
                <c:pt idx="33">
                  <c:v>42156</c:v>
                </c:pt>
                <c:pt idx="34">
                  <c:v>42186</c:v>
                </c:pt>
                <c:pt idx="35">
                  <c:v>42217</c:v>
                </c:pt>
                <c:pt idx="36">
                  <c:v>42248</c:v>
                </c:pt>
                <c:pt idx="37">
                  <c:v>42278</c:v>
                </c:pt>
                <c:pt idx="38">
                  <c:v>42309</c:v>
                </c:pt>
                <c:pt idx="39">
                  <c:v>42339</c:v>
                </c:pt>
                <c:pt idx="40">
                  <c:v>42370</c:v>
                </c:pt>
                <c:pt idx="41">
                  <c:v>42401</c:v>
                </c:pt>
                <c:pt idx="42">
                  <c:v>42430</c:v>
                </c:pt>
                <c:pt idx="43">
                  <c:v>42461</c:v>
                </c:pt>
                <c:pt idx="44">
                  <c:v>42491</c:v>
                </c:pt>
                <c:pt idx="45">
                  <c:v>42522</c:v>
                </c:pt>
                <c:pt idx="46">
                  <c:v>42552</c:v>
                </c:pt>
                <c:pt idx="47">
                  <c:v>42583</c:v>
                </c:pt>
                <c:pt idx="48">
                  <c:v>42614</c:v>
                </c:pt>
                <c:pt idx="49">
                  <c:v>42644</c:v>
                </c:pt>
                <c:pt idx="50">
                  <c:v>42675</c:v>
                </c:pt>
                <c:pt idx="51">
                  <c:v>42705</c:v>
                </c:pt>
              </c:numCache>
            </c:numRef>
          </c:cat>
          <c:val>
            <c:numRef>
              <c:f>'IP ACPM'!$I$49:$I$100</c:f>
              <c:numCache>
                <c:formatCode>0.00%</c:formatCode>
                <c:ptCount val="52"/>
                <c:pt idx="0">
                  <c:v>-2.8000000000000001E-2</c:v>
                </c:pt>
                <c:pt idx="1">
                  <c:v>-2.8000000000000001E-2</c:v>
                </c:pt>
                <c:pt idx="2">
                  <c:v>-2.8000000000000001E-2</c:v>
                </c:pt>
                <c:pt idx="3">
                  <c:v>-2.8000000000000001E-2</c:v>
                </c:pt>
                <c:pt idx="4">
                  <c:v>-2.8000000000000001E-2</c:v>
                </c:pt>
                <c:pt idx="5">
                  <c:v>-2.8000000000000001E-2</c:v>
                </c:pt>
                <c:pt idx="6">
                  <c:v>-2.8000000000000001E-2</c:v>
                </c:pt>
                <c:pt idx="7">
                  <c:v>-2.8000000000000001E-2</c:v>
                </c:pt>
                <c:pt idx="8">
                  <c:v>-2.8000000000000001E-2</c:v>
                </c:pt>
                <c:pt idx="9">
                  <c:v>-2.8000000000000001E-2</c:v>
                </c:pt>
                <c:pt idx="10">
                  <c:v>-2.8000000000000001E-2</c:v>
                </c:pt>
                <c:pt idx="11">
                  <c:v>-2.8000000000000001E-2</c:v>
                </c:pt>
                <c:pt idx="12">
                  <c:v>-2.8000000000000001E-2</c:v>
                </c:pt>
                <c:pt idx="13">
                  <c:v>-2.8000000000000001E-2</c:v>
                </c:pt>
                <c:pt idx="14">
                  <c:v>-2.8000000000000001E-2</c:v>
                </c:pt>
                <c:pt idx="15">
                  <c:v>-2.8000000000000001E-2</c:v>
                </c:pt>
                <c:pt idx="16">
                  <c:v>-2.8000000000000001E-2</c:v>
                </c:pt>
                <c:pt idx="17">
                  <c:v>-2.8000000000000001E-2</c:v>
                </c:pt>
                <c:pt idx="18">
                  <c:v>-2.8000000000000001E-2</c:v>
                </c:pt>
                <c:pt idx="19">
                  <c:v>-2.8000000000000001E-2</c:v>
                </c:pt>
                <c:pt idx="20">
                  <c:v>-2.8000000000000001E-2</c:v>
                </c:pt>
                <c:pt idx="21">
                  <c:v>-2.8000000000000001E-2</c:v>
                </c:pt>
                <c:pt idx="22">
                  <c:v>-2.8000000000000001E-2</c:v>
                </c:pt>
                <c:pt idx="23">
                  <c:v>-2.8000000000000001E-2</c:v>
                </c:pt>
                <c:pt idx="24">
                  <c:v>-2.8000000000000001E-2</c:v>
                </c:pt>
                <c:pt idx="25">
                  <c:v>-2.8000000000000001E-2</c:v>
                </c:pt>
                <c:pt idx="26">
                  <c:v>-2.8000000000000001E-2</c:v>
                </c:pt>
                <c:pt idx="27">
                  <c:v>-2.8000000000000001E-2</c:v>
                </c:pt>
                <c:pt idx="28">
                  <c:v>-2.8000000000000001E-2</c:v>
                </c:pt>
                <c:pt idx="29">
                  <c:v>-2.8000000000000001E-2</c:v>
                </c:pt>
                <c:pt idx="30">
                  <c:v>-2.8000000000000001E-2</c:v>
                </c:pt>
                <c:pt idx="31">
                  <c:v>-2.8000000000000001E-2</c:v>
                </c:pt>
                <c:pt idx="32">
                  <c:v>-2.8000000000000001E-2</c:v>
                </c:pt>
                <c:pt idx="33">
                  <c:v>-2.8000000000000001E-2</c:v>
                </c:pt>
                <c:pt idx="34">
                  <c:v>-2.8000000000000001E-2</c:v>
                </c:pt>
                <c:pt idx="35">
                  <c:v>-2.8000000000000001E-2</c:v>
                </c:pt>
                <c:pt idx="36">
                  <c:v>-2.8000000000000001E-2</c:v>
                </c:pt>
                <c:pt idx="37">
                  <c:v>-2.8000000000000001E-2</c:v>
                </c:pt>
                <c:pt idx="38">
                  <c:v>-2.8000000000000001E-2</c:v>
                </c:pt>
                <c:pt idx="39">
                  <c:v>-2.8000000000000001E-2</c:v>
                </c:pt>
                <c:pt idx="40">
                  <c:v>-2.8000000000000001E-2</c:v>
                </c:pt>
                <c:pt idx="41">
                  <c:v>-2.8000000000000001E-2</c:v>
                </c:pt>
                <c:pt idx="42">
                  <c:v>-2.8000000000000001E-2</c:v>
                </c:pt>
                <c:pt idx="43">
                  <c:v>-2.8000000000000001E-2</c:v>
                </c:pt>
                <c:pt idx="44">
                  <c:v>-2.8000000000000001E-2</c:v>
                </c:pt>
                <c:pt idx="45">
                  <c:v>-2.8000000000000001E-2</c:v>
                </c:pt>
                <c:pt idx="46">
                  <c:v>-2.8000000000000001E-2</c:v>
                </c:pt>
                <c:pt idx="47">
                  <c:v>-2.8000000000000001E-2</c:v>
                </c:pt>
                <c:pt idx="48">
                  <c:v>-2.8000000000000001E-2</c:v>
                </c:pt>
                <c:pt idx="49">
                  <c:v>-2.8000000000000001E-2</c:v>
                </c:pt>
                <c:pt idx="50">
                  <c:v>-2.8000000000000001E-2</c:v>
                </c:pt>
                <c:pt idx="51">
                  <c:v>-2.8000000000000001E-2</c:v>
                </c:pt>
              </c:numCache>
            </c:numRef>
          </c:val>
          <c:smooth val="0"/>
          <c:extLst xmlns:c16r2="http://schemas.microsoft.com/office/drawing/2015/06/chart">
            <c:ext xmlns:c16="http://schemas.microsoft.com/office/drawing/2014/chart" uri="{C3380CC4-5D6E-409C-BE32-E72D297353CC}">
              <c16:uniqueId val="{00000002-D311-B648-9172-E09FCABF5A12}"/>
            </c:ext>
          </c:extLst>
        </c:ser>
        <c:dLbls>
          <c:showLegendKey val="0"/>
          <c:showVal val="0"/>
          <c:showCatName val="0"/>
          <c:showSerName val="0"/>
          <c:showPercent val="0"/>
          <c:showBubbleSize val="0"/>
        </c:dLbls>
        <c:marker val="1"/>
        <c:smooth val="0"/>
        <c:axId val="82642048"/>
        <c:axId val="82643584"/>
      </c:lineChart>
      <c:dateAx>
        <c:axId val="82642048"/>
        <c:scaling>
          <c:orientation val="minMax"/>
        </c:scaling>
        <c:delete val="0"/>
        <c:axPos val="b"/>
        <c:numFmt formatCode="mmm\-yy" sourceLinked="1"/>
        <c:majorTickMark val="none"/>
        <c:minorTickMark val="none"/>
        <c:tickLblPos val="low"/>
        <c:crossAx val="82643584"/>
        <c:crosses val="autoZero"/>
        <c:auto val="1"/>
        <c:lblOffset val="100"/>
        <c:baseTimeUnit val="months"/>
      </c:dateAx>
      <c:valAx>
        <c:axId val="82643584"/>
        <c:scaling>
          <c:orientation val="minMax"/>
          <c:min val="-9.0000000000000024E-2"/>
        </c:scaling>
        <c:delete val="0"/>
        <c:axPos val="l"/>
        <c:majorGridlines>
          <c:spPr>
            <a:ln>
              <a:noFill/>
            </a:ln>
          </c:spPr>
        </c:majorGridlines>
        <c:numFmt formatCode="0%" sourceLinked="0"/>
        <c:majorTickMark val="none"/>
        <c:minorTickMark val="none"/>
        <c:tickLblPos val="nextTo"/>
        <c:spPr>
          <a:ln w="6350">
            <a:noFill/>
          </a:ln>
        </c:spPr>
        <c:crossAx val="82642048"/>
        <c:crosses val="autoZero"/>
        <c:crossBetween val="between"/>
        <c:majorUnit val="1.0000000000000002E-2"/>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IPgmc_oficial</a:t>
            </a:r>
            <a:r>
              <a:rPr lang="es-ES" baseline="0"/>
              <a:t> vs  IPgmc_calculado</a:t>
            </a:r>
            <a:endParaRPr lang="es-ES"/>
          </a:p>
        </c:rich>
      </c:tx>
      <c:overlay val="0"/>
      <c:spPr>
        <a:noFill/>
        <a:ln>
          <a:noFill/>
        </a:ln>
        <a:effectLst/>
      </c:spPr>
    </c:title>
    <c:autoTitleDeleted val="0"/>
    <c:plotArea>
      <c:layout/>
      <c:lineChart>
        <c:grouping val="standard"/>
        <c:varyColors val="0"/>
        <c:ser>
          <c:idx val="0"/>
          <c:order val="0"/>
          <c:tx>
            <c:strRef>
              <c:f>Hoja5!$I$2</c:f>
              <c:strCache>
                <c:ptCount val="1"/>
                <c:pt idx="0">
                  <c:v>IPgmc_Oficial</c:v>
                </c:pt>
              </c:strCache>
            </c:strRef>
          </c:tx>
          <c:spPr>
            <a:ln w="28575" cap="rnd">
              <a:solidFill>
                <a:schemeClr val="bg1">
                  <a:lumMod val="75000"/>
                </a:schemeClr>
              </a:solidFill>
              <a:round/>
            </a:ln>
            <a:effectLst/>
          </c:spPr>
          <c:marker>
            <c:symbol val="none"/>
          </c:marker>
          <c:cat>
            <c:numRef>
              <c:f>Hoja5!$H$3:$H$65</c:f>
              <c:numCache>
                <c:formatCode>mmm\-yy</c:formatCode>
                <c:ptCount val="63"/>
                <c:pt idx="0">
                  <c:v>40817</c:v>
                </c:pt>
                <c:pt idx="1">
                  <c:v>40848</c:v>
                </c:pt>
                <c:pt idx="2">
                  <c:v>40878</c:v>
                </c:pt>
                <c:pt idx="3">
                  <c:v>40909</c:v>
                </c:pt>
                <c:pt idx="4">
                  <c:v>40940</c:v>
                </c:pt>
                <c:pt idx="5">
                  <c:v>40969</c:v>
                </c:pt>
                <c:pt idx="6">
                  <c:v>41000</c:v>
                </c:pt>
                <c:pt idx="7">
                  <c:v>41030</c:v>
                </c:pt>
                <c:pt idx="8">
                  <c:v>41061</c:v>
                </c:pt>
                <c:pt idx="9">
                  <c:v>41091</c:v>
                </c:pt>
                <c:pt idx="10">
                  <c:v>41122</c:v>
                </c:pt>
                <c:pt idx="11">
                  <c:v>41153</c:v>
                </c:pt>
                <c:pt idx="12">
                  <c:v>41183</c:v>
                </c:pt>
                <c:pt idx="13">
                  <c:v>41214</c:v>
                </c:pt>
                <c:pt idx="14">
                  <c:v>41244</c:v>
                </c:pt>
                <c:pt idx="15">
                  <c:v>41275</c:v>
                </c:pt>
                <c:pt idx="16">
                  <c:v>41306</c:v>
                </c:pt>
                <c:pt idx="17">
                  <c:v>41334</c:v>
                </c:pt>
                <c:pt idx="18">
                  <c:v>41365</c:v>
                </c:pt>
                <c:pt idx="19">
                  <c:v>41395</c:v>
                </c:pt>
                <c:pt idx="20">
                  <c:v>41426</c:v>
                </c:pt>
                <c:pt idx="21">
                  <c:v>41456</c:v>
                </c:pt>
                <c:pt idx="22">
                  <c:v>41487</c:v>
                </c:pt>
                <c:pt idx="23">
                  <c:v>41518</c:v>
                </c:pt>
                <c:pt idx="24">
                  <c:v>41548</c:v>
                </c:pt>
                <c:pt idx="25">
                  <c:v>41579</c:v>
                </c:pt>
                <c:pt idx="26">
                  <c:v>41609</c:v>
                </c:pt>
                <c:pt idx="27">
                  <c:v>41640</c:v>
                </c:pt>
                <c:pt idx="28">
                  <c:v>41671</c:v>
                </c:pt>
                <c:pt idx="29">
                  <c:v>41699</c:v>
                </c:pt>
                <c:pt idx="30">
                  <c:v>41730</c:v>
                </c:pt>
                <c:pt idx="31">
                  <c:v>41760</c:v>
                </c:pt>
                <c:pt idx="32">
                  <c:v>41791</c:v>
                </c:pt>
                <c:pt idx="33">
                  <c:v>41821</c:v>
                </c:pt>
                <c:pt idx="34">
                  <c:v>41852</c:v>
                </c:pt>
                <c:pt idx="35">
                  <c:v>41883</c:v>
                </c:pt>
                <c:pt idx="36">
                  <c:v>41913</c:v>
                </c:pt>
                <c:pt idx="37">
                  <c:v>41944</c:v>
                </c:pt>
                <c:pt idx="38">
                  <c:v>41974</c:v>
                </c:pt>
                <c:pt idx="39">
                  <c:v>42005</c:v>
                </c:pt>
                <c:pt idx="40">
                  <c:v>42036</c:v>
                </c:pt>
                <c:pt idx="41">
                  <c:v>42064</c:v>
                </c:pt>
                <c:pt idx="42">
                  <c:v>42095</c:v>
                </c:pt>
                <c:pt idx="43">
                  <c:v>42125</c:v>
                </c:pt>
                <c:pt idx="44">
                  <c:v>42156</c:v>
                </c:pt>
                <c:pt idx="45">
                  <c:v>42186</c:v>
                </c:pt>
                <c:pt idx="46">
                  <c:v>42217</c:v>
                </c:pt>
                <c:pt idx="47">
                  <c:v>42248</c:v>
                </c:pt>
                <c:pt idx="48">
                  <c:v>42278</c:v>
                </c:pt>
                <c:pt idx="49">
                  <c:v>42309</c:v>
                </c:pt>
                <c:pt idx="50">
                  <c:v>42339</c:v>
                </c:pt>
                <c:pt idx="51">
                  <c:v>42370</c:v>
                </c:pt>
                <c:pt idx="52">
                  <c:v>42401</c:v>
                </c:pt>
                <c:pt idx="53">
                  <c:v>42430</c:v>
                </c:pt>
                <c:pt idx="54">
                  <c:v>42461</c:v>
                </c:pt>
                <c:pt idx="55">
                  <c:v>42491</c:v>
                </c:pt>
                <c:pt idx="56">
                  <c:v>42522</c:v>
                </c:pt>
                <c:pt idx="57">
                  <c:v>42552</c:v>
                </c:pt>
                <c:pt idx="58">
                  <c:v>42583</c:v>
                </c:pt>
                <c:pt idx="59">
                  <c:v>42614</c:v>
                </c:pt>
                <c:pt idx="60">
                  <c:v>42644</c:v>
                </c:pt>
                <c:pt idx="61">
                  <c:v>42675</c:v>
                </c:pt>
                <c:pt idx="62">
                  <c:v>42705</c:v>
                </c:pt>
              </c:numCache>
            </c:numRef>
          </c:cat>
          <c:val>
            <c:numRef>
              <c:f>Hoja5!$I$3:$I$65</c:f>
              <c:numCache>
                <c:formatCode>General</c:formatCode>
                <c:ptCount val="63"/>
                <c:pt idx="0">
                  <c:v>4563.6000000000022</c:v>
                </c:pt>
                <c:pt idx="1">
                  <c:v>4646.8000000000011</c:v>
                </c:pt>
                <c:pt idx="2">
                  <c:v>4646.8</c:v>
                </c:pt>
                <c:pt idx="3">
                  <c:v>4669.4387096774199</c:v>
                </c:pt>
                <c:pt idx="4">
                  <c:v>4811.1000000000031</c:v>
                </c:pt>
                <c:pt idx="5">
                  <c:v>4955.5</c:v>
                </c:pt>
                <c:pt idx="6">
                  <c:v>5104.1000000000031</c:v>
                </c:pt>
                <c:pt idx="7">
                  <c:v>5104.1000000000031</c:v>
                </c:pt>
                <c:pt idx="8">
                  <c:v>4966.3099999999995</c:v>
                </c:pt>
                <c:pt idx="9">
                  <c:v>4812.0806451612907</c:v>
                </c:pt>
                <c:pt idx="10">
                  <c:v>5348.8456521739145</c:v>
                </c:pt>
                <c:pt idx="11">
                  <c:v>5376.4305263157894</c:v>
                </c:pt>
                <c:pt idx="12">
                  <c:v>4992.8939130434783</c:v>
                </c:pt>
                <c:pt idx="13">
                  <c:v>4681.5819999999994</c:v>
                </c:pt>
                <c:pt idx="14">
                  <c:v>4607.2344999999996</c:v>
                </c:pt>
                <c:pt idx="15">
                  <c:v>4796.5195238095239</c:v>
                </c:pt>
                <c:pt idx="16">
                  <c:v>5355.604736842105</c:v>
                </c:pt>
                <c:pt idx="17">
                  <c:v>5262.0580000000009</c:v>
                </c:pt>
                <c:pt idx="18">
                  <c:v>4824.4186363636363</c:v>
                </c:pt>
                <c:pt idx="19">
                  <c:v>4840.7436363636361</c:v>
                </c:pt>
                <c:pt idx="20">
                  <c:v>4842.240499999999</c:v>
                </c:pt>
                <c:pt idx="21">
                  <c:v>5299.0963636363631</c:v>
                </c:pt>
                <c:pt idx="22">
                  <c:v>5273.9872727272723</c:v>
                </c:pt>
                <c:pt idx="23">
                  <c:v>4894.2149999999992</c:v>
                </c:pt>
                <c:pt idx="24">
                  <c:v>4653.4730434782614</c:v>
                </c:pt>
                <c:pt idx="25">
                  <c:v>4661.1094736842097</c:v>
                </c:pt>
                <c:pt idx="26">
                  <c:v>4950.8633333333319</c:v>
                </c:pt>
                <c:pt idx="27">
                  <c:v>5005.6904761904752</c:v>
                </c:pt>
                <c:pt idx="28">
                  <c:v>5355.5578947368413</c:v>
                </c:pt>
                <c:pt idx="29">
                  <c:v>5377.8747619047617</c:v>
                </c:pt>
                <c:pt idx="30">
                  <c:v>5404.2961904761896</c:v>
                </c:pt>
                <c:pt idx="31">
                  <c:v>5285.8323809523818</c:v>
                </c:pt>
                <c:pt idx="32">
                  <c:v>5411.3661904761912</c:v>
                </c:pt>
                <c:pt idx="33">
                  <c:v>5059.624545454546</c:v>
                </c:pt>
                <c:pt idx="34">
                  <c:v>4996.4533333333329</c:v>
                </c:pt>
                <c:pt idx="35">
                  <c:v>4969.3528571428569</c:v>
                </c:pt>
                <c:pt idx="36">
                  <c:v>4305.4460869565219</c:v>
                </c:pt>
                <c:pt idx="37">
                  <c:v>4004.3016666666663</c:v>
                </c:pt>
                <c:pt idx="38">
                  <c:v>3161.3466666666668</c:v>
                </c:pt>
                <c:pt idx="39">
                  <c:v>2993.8939999999998</c:v>
                </c:pt>
                <c:pt idx="40">
                  <c:v>3772.2042105263158</c:v>
                </c:pt>
                <c:pt idx="41">
                  <c:v>4101.5836363636354</c:v>
                </c:pt>
                <c:pt idx="42">
                  <c:v>4288.1152380952381</c:v>
                </c:pt>
                <c:pt idx="43">
                  <c:v>4492.3959999999988</c:v>
                </c:pt>
                <c:pt idx="44">
                  <c:v>4885.2409090909096</c:v>
                </c:pt>
                <c:pt idx="45">
                  <c:v>4736.113636363636</c:v>
                </c:pt>
                <c:pt idx="46">
                  <c:v>4368.8028571428567</c:v>
                </c:pt>
                <c:pt idx="47">
                  <c:v>3921.0414285714292</c:v>
                </c:pt>
                <c:pt idx="48">
                  <c:v>3643.3940909090916</c:v>
                </c:pt>
                <c:pt idx="49">
                  <c:v>3570.6326315789474</c:v>
                </c:pt>
                <c:pt idx="50">
                  <c:v>3640.1854545454548</c:v>
                </c:pt>
                <c:pt idx="51">
                  <c:v>3161.5736842105266</c:v>
                </c:pt>
                <c:pt idx="52">
                  <c:v>2977.6739999999995</c:v>
                </c:pt>
                <c:pt idx="53">
                  <c:v>3597.2018181818185</c:v>
                </c:pt>
                <c:pt idx="54">
                  <c:v>3717.3490476190468</c:v>
                </c:pt>
                <c:pt idx="55">
                  <c:v>4033.6542857142858</c:v>
                </c:pt>
                <c:pt idx="56">
                  <c:v>4098.0122727272728</c:v>
                </c:pt>
                <c:pt idx="57">
                  <c:v>3694.4234999999999</c:v>
                </c:pt>
                <c:pt idx="58">
                  <c:v>3876.802173913044</c:v>
                </c:pt>
                <c:pt idx="59">
                  <c:v>3763.7961904761905</c:v>
                </c:pt>
                <c:pt idx="60">
                  <c:v>4075.4261904761911</c:v>
                </c:pt>
                <c:pt idx="61">
                  <c:v>3823.9605000000001</c:v>
                </c:pt>
                <c:pt idx="62">
                  <c:v>4419.1845000000012</c:v>
                </c:pt>
              </c:numCache>
            </c:numRef>
          </c:val>
          <c:smooth val="0"/>
          <c:extLst xmlns:c16r2="http://schemas.microsoft.com/office/drawing/2015/06/chart">
            <c:ext xmlns:c16="http://schemas.microsoft.com/office/drawing/2014/chart" uri="{C3380CC4-5D6E-409C-BE32-E72D297353CC}">
              <c16:uniqueId val="{00000000-E501-7E43-AD4D-54CD73254777}"/>
            </c:ext>
          </c:extLst>
        </c:ser>
        <c:ser>
          <c:idx val="1"/>
          <c:order val="1"/>
          <c:tx>
            <c:strRef>
              <c:f>Hoja5!$J$2</c:f>
              <c:strCache>
                <c:ptCount val="1"/>
                <c:pt idx="0">
                  <c:v>Ipgmc_Calculado</c:v>
                </c:pt>
              </c:strCache>
            </c:strRef>
          </c:tx>
          <c:spPr>
            <a:ln w="28575" cap="rnd">
              <a:solidFill>
                <a:schemeClr val="tx1"/>
              </a:solidFill>
              <a:round/>
            </a:ln>
            <a:effectLst/>
          </c:spPr>
          <c:marker>
            <c:symbol val="none"/>
          </c:marker>
          <c:cat>
            <c:numRef>
              <c:f>Hoja5!$H$3:$H$65</c:f>
              <c:numCache>
                <c:formatCode>mmm\-yy</c:formatCode>
                <c:ptCount val="63"/>
                <c:pt idx="0">
                  <c:v>40817</c:v>
                </c:pt>
                <c:pt idx="1">
                  <c:v>40848</c:v>
                </c:pt>
                <c:pt idx="2">
                  <c:v>40878</c:v>
                </c:pt>
                <c:pt idx="3">
                  <c:v>40909</c:v>
                </c:pt>
                <c:pt idx="4">
                  <c:v>40940</c:v>
                </c:pt>
                <c:pt idx="5">
                  <c:v>40969</c:v>
                </c:pt>
                <c:pt idx="6">
                  <c:v>41000</c:v>
                </c:pt>
                <c:pt idx="7">
                  <c:v>41030</c:v>
                </c:pt>
                <c:pt idx="8">
                  <c:v>41061</c:v>
                </c:pt>
                <c:pt idx="9">
                  <c:v>41091</c:v>
                </c:pt>
                <c:pt idx="10">
                  <c:v>41122</c:v>
                </c:pt>
                <c:pt idx="11">
                  <c:v>41153</c:v>
                </c:pt>
                <c:pt idx="12">
                  <c:v>41183</c:v>
                </c:pt>
                <c:pt idx="13">
                  <c:v>41214</c:v>
                </c:pt>
                <c:pt idx="14">
                  <c:v>41244</c:v>
                </c:pt>
                <c:pt idx="15">
                  <c:v>41275</c:v>
                </c:pt>
                <c:pt idx="16">
                  <c:v>41306</c:v>
                </c:pt>
                <c:pt idx="17">
                  <c:v>41334</c:v>
                </c:pt>
                <c:pt idx="18">
                  <c:v>41365</c:v>
                </c:pt>
                <c:pt idx="19">
                  <c:v>41395</c:v>
                </c:pt>
                <c:pt idx="20">
                  <c:v>41426</c:v>
                </c:pt>
                <c:pt idx="21">
                  <c:v>41456</c:v>
                </c:pt>
                <c:pt idx="22">
                  <c:v>41487</c:v>
                </c:pt>
                <c:pt idx="23">
                  <c:v>41518</c:v>
                </c:pt>
                <c:pt idx="24">
                  <c:v>41548</c:v>
                </c:pt>
                <c:pt idx="25">
                  <c:v>41579</c:v>
                </c:pt>
                <c:pt idx="26">
                  <c:v>41609</c:v>
                </c:pt>
                <c:pt idx="27">
                  <c:v>41640</c:v>
                </c:pt>
                <c:pt idx="28">
                  <c:v>41671</c:v>
                </c:pt>
                <c:pt idx="29">
                  <c:v>41699</c:v>
                </c:pt>
                <c:pt idx="30">
                  <c:v>41730</c:v>
                </c:pt>
                <c:pt idx="31">
                  <c:v>41760</c:v>
                </c:pt>
                <c:pt idx="32">
                  <c:v>41791</c:v>
                </c:pt>
                <c:pt idx="33">
                  <c:v>41821</c:v>
                </c:pt>
                <c:pt idx="34">
                  <c:v>41852</c:v>
                </c:pt>
                <c:pt idx="35">
                  <c:v>41883</c:v>
                </c:pt>
                <c:pt idx="36">
                  <c:v>41913</c:v>
                </c:pt>
                <c:pt idx="37">
                  <c:v>41944</c:v>
                </c:pt>
                <c:pt idx="38">
                  <c:v>41974</c:v>
                </c:pt>
                <c:pt idx="39">
                  <c:v>42005</c:v>
                </c:pt>
                <c:pt idx="40">
                  <c:v>42036</c:v>
                </c:pt>
                <c:pt idx="41">
                  <c:v>42064</c:v>
                </c:pt>
                <c:pt idx="42">
                  <c:v>42095</c:v>
                </c:pt>
                <c:pt idx="43">
                  <c:v>42125</c:v>
                </c:pt>
                <c:pt idx="44">
                  <c:v>42156</c:v>
                </c:pt>
                <c:pt idx="45">
                  <c:v>42186</c:v>
                </c:pt>
                <c:pt idx="46">
                  <c:v>42217</c:v>
                </c:pt>
                <c:pt idx="47">
                  <c:v>42248</c:v>
                </c:pt>
                <c:pt idx="48">
                  <c:v>42278</c:v>
                </c:pt>
                <c:pt idx="49">
                  <c:v>42309</c:v>
                </c:pt>
                <c:pt idx="50">
                  <c:v>42339</c:v>
                </c:pt>
                <c:pt idx="51">
                  <c:v>42370</c:v>
                </c:pt>
                <c:pt idx="52">
                  <c:v>42401</c:v>
                </c:pt>
                <c:pt idx="53">
                  <c:v>42430</c:v>
                </c:pt>
                <c:pt idx="54">
                  <c:v>42461</c:v>
                </c:pt>
                <c:pt idx="55">
                  <c:v>42491</c:v>
                </c:pt>
                <c:pt idx="56">
                  <c:v>42522</c:v>
                </c:pt>
                <c:pt idx="57">
                  <c:v>42552</c:v>
                </c:pt>
                <c:pt idx="58">
                  <c:v>42583</c:v>
                </c:pt>
                <c:pt idx="59">
                  <c:v>42614</c:v>
                </c:pt>
                <c:pt idx="60">
                  <c:v>42644</c:v>
                </c:pt>
                <c:pt idx="61">
                  <c:v>42675</c:v>
                </c:pt>
                <c:pt idx="62">
                  <c:v>42705</c:v>
                </c:pt>
              </c:numCache>
            </c:numRef>
          </c:cat>
          <c:val>
            <c:numRef>
              <c:f>Hoja5!$J$3:$J$65</c:f>
              <c:numCache>
                <c:formatCode>General</c:formatCode>
                <c:ptCount val="63"/>
                <c:pt idx="0">
                  <c:v>4563.6000000000022</c:v>
                </c:pt>
                <c:pt idx="1">
                  <c:v>4646.8000000000011</c:v>
                </c:pt>
                <c:pt idx="2">
                  <c:v>4656.7796587143212</c:v>
                </c:pt>
                <c:pt idx="3">
                  <c:v>4732.6975368985359</c:v>
                </c:pt>
                <c:pt idx="4">
                  <c:v>4874.6784630054917</c:v>
                </c:pt>
                <c:pt idx="5">
                  <c:v>5018.3192157141621</c:v>
                </c:pt>
                <c:pt idx="6">
                  <c:v>5096.118570663536</c:v>
                </c:pt>
                <c:pt idx="7">
                  <c:v>5096.118570663536</c:v>
                </c:pt>
                <c:pt idx="8">
                  <c:v>4943.23501354363</c:v>
                </c:pt>
                <c:pt idx="9">
                  <c:v>4943.23501354363</c:v>
                </c:pt>
                <c:pt idx="10">
                  <c:v>4943.23501354363</c:v>
                </c:pt>
                <c:pt idx="11">
                  <c:v>4794.9379631373213</c:v>
                </c:pt>
                <c:pt idx="12">
                  <c:v>4794.9379631373213</c:v>
                </c:pt>
                <c:pt idx="13">
                  <c:v>4794.9379631373213</c:v>
                </c:pt>
                <c:pt idx="14">
                  <c:v>4938.7861020314413</c:v>
                </c:pt>
                <c:pt idx="15">
                  <c:v>4938.7861020314413</c:v>
                </c:pt>
                <c:pt idx="16">
                  <c:v>4938.7861020314413</c:v>
                </c:pt>
                <c:pt idx="17">
                  <c:v>4790.6225189704983</c:v>
                </c:pt>
                <c:pt idx="18">
                  <c:v>4790.6225189704983</c:v>
                </c:pt>
                <c:pt idx="19">
                  <c:v>4918.1132734281609</c:v>
                </c:pt>
                <c:pt idx="20">
                  <c:v>4918.1132734281609</c:v>
                </c:pt>
                <c:pt idx="21">
                  <c:v>5065.6566716310062</c:v>
                </c:pt>
                <c:pt idx="22">
                  <c:v>4913.6869714820759</c:v>
                </c:pt>
                <c:pt idx="23">
                  <c:v>4913.6869714820759</c:v>
                </c:pt>
                <c:pt idx="24">
                  <c:v>4936.8158883986362</c:v>
                </c:pt>
                <c:pt idx="25">
                  <c:v>4936.8158883986362</c:v>
                </c:pt>
                <c:pt idx="26">
                  <c:v>4936.8158883986362</c:v>
                </c:pt>
                <c:pt idx="27">
                  <c:v>4936.8158883986362</c:v>
                </c:pt>
                <c:pt idx="28">
                  <c:v>4936.8158883986362</c:v>
                </c:pt>
                <c:pt idx="29">
                  <c:v>4875.1305450977097</c:v>
                </c:pt>
                <c:pt idx="30">
                  <c:v>4862.422359496828</c:v>
                </c:pt>
                <c:pt idx="31">
                  <c:v>4851.150345147561</c:v>
                </c:pt>
                <c:pt idx="32">
                  <c:v>4851.150345147561</c:v>
                </c:pt>
                <c:pt idx="33">
                  <c:v>4851.150345147561</c:v>
                </c:pt>
                <c:pt idx="34">
                  <c:v>4851.150345147561</c:v>
                </c:pt>
                <c:pt idx="35">
                  <c:v>4851.150345147561</c:v>
                </c:pt>
                <c:pt idx="36">
                  <c:v>4851.150345147561</c:v>
                </c:pt>
                <c:pt idx="37">
                  <c:v>4851.150345147561</c:v>
                </c:pt>
                <c:pt idx="38">
                  <c:v>4851.150345147561</c:v>
                </c:pt>
                <c:pt idx="39">
                  <c:v>4851.150345147561</c:v>
                </c:pt>
                <c:pt idx="40">
                  <c:v>4851.150345147561</c:v>
                </c:pt>
                <c:pt idx="41">
                  <c:v>4851.150345147561</c:v>
                </c:pt>
                <c:pt idx="42">
                  <c:v>4851.150345147561</c:v>
                </c:pt>
                <c:pt idx="43">
                  <c:v>4851.150345147561</c:v>
                </c:pt>
                <c:pt idx="44">
                  <c:v>4778.7140902192432</c:v>
                </c:pt>
                <c:pt idx="45">
                  <c:v>4635.3526675126659</c:v>
                </c:pt>
                <c:pt idx="46">
                  <c:v>4496.2920874872862</c:v>
                </c:pt>
                <c:pt idx="47">
                  <c:v>4361.4033248626674</c:v>
                </c:pt>
                <c:pt idx="48">
                  <c:v>4230.5612251167877</c:v>
                </c:pt>
                <c:pt idx="49">
                  <c:v>4103.6443883632837</c:v>
                </c:pt>
                <c:pt idx="50">
                  <c:v>3980.5350567123851</c:v>
                </c:pt>
                <c:pt idx="51">
                  <c:v>3861.1190050110135</c:v>
                </c:pt>
                <c:pt idx="52">
                  <c:v>3861.1190050110135</c:v>
                </c:pt>
                <c:pt idx="53">
                  <c:v>3861.1190050110135</c:v>
                </c:pt>
                <c:pt idx="54">
                  <c:v>3861.1190050110135</c:v>
                </c:pt>
                <c:pt idx="55">
                  <c:v>3861.1190050110135</c:v>
                </c:pt>
                <c:pt idx="56">
                  <c:v>3745.2854348606829</c:v>
                </c:pt>
                <c:pt idx="57">
                  <c:v>3700.5402592235409</c:v>
                </c:pt>
                <c:pt idx="58">
                  <c:v>3700.5402592235409</c:v>
                </c:pt>
                <c:pt idx="59">
                  <c:v>3700.5402592235409</c:v>
                </c:pt>
                <c:pt idx="60">
                  <c:v>3799.9701393019595</c:v>
                </c:pt>
                <c:pt idx="61">
                  <c:v>3799.9701393019595</c:v>
                </c:pt>
                <c:pt idx="62">
                  <c:v>3913.9692434810186</c:v>
                </c:pt>
              </c:numCache>
            </c:numRef>
          </c:val>
          <c:smooth val="0"/>
          <c:extLst xmlns:c16r2="http://schemas.microsoft.com/office/drawing/2015/06/chart">
            <c:ext xmlns:c16="http://schemas.microsoft.com/office/drawing/2014/chart" uri="{C3380CC4-5D6E-409C-BE32-E72D297353CC}">
              <c16:uniqueId val="{00000001-E501-7E43-AD4D-54CD73254777}"/>
            </c:ext>
          </c:extLst>
        </c:ser>
        <c:dLbls>
          <c:showLegendKey val="0"/>
          <c:showVal val="0"/>
          <c:showCatName val="0"/>
          <c:showSerName val="0"/>
          <c:showPercent val="0"/>
          <c:showBubbleSize val="0"/>
        </c:dLbls>
        <c:marker val="1"/>
        <c:smooth val="0"/>
        <c:axId val="105271680"/>
        <c:axId val="105273600"/>
      </c:lineChart>
      <c:dateAx>
        <c:axId val="1052716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a:t>Meses</a:t>
                </a:r>
              </a:p>
            </c:rich>
          </c:tx>
          <c:overlay val="0"/>
          <c:spPr>
            <a:noFill/>
            <a:ln>
              <a:noFill/>
            </a:ln>
            <a:effectLst/>
          </c:spPr>
        </c:title>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05273600"/>
        <c:crosses val="autoZero"/>
        <c:auto val="1"/>
        <c:lblOffset val="100"/>
        <c:baseTimeUnit val="months"/>
      </c:dateAx>
      <c:valAx>
        <c:axId val="1052736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a:t>Pesos</a:t>
                </a:r>
                <a:r>
                  <a:rPr lang="es-ES" baseline="0"/>
                  <a:t> colombianos</a:t>
                </a:r>
                <a:endParaRPr lang="es-ES"/>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05271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IPacpm_oficial</a:t>
            </a:r>
            <a:r>
              <a:rPr lang="es-ES" baseline="0"/>
              <a:t> vs IPacpm_calculado</a:t>
            </a:r>
            <a:endParaRPr lang="es-ES"/>
          </a:p>
        </c:rich>
      </c:tx>
      <c:layout>
        <c:manualLayout>
          <c:xMode val="edge"/>
          <c:yMode val="edge"/>
          <c:x val="0.2821910487641951"/>
          <c:y val="2.6101146395233012E-2"/>
        </c:manualLayout>
      </c:layout>
      <c:overlay val="0"/>
      <c:spPr>
        <a:noFill/>
        <a:ln>
          <a:noFill/>
        </a:ln>
        <a:effectLst/>
      </c:spPr>
    </c:title>
    <c:autoTitleDeleted val="0"/>
    <c:plotArea>
      <c:layout/>
      <c:lineChart>
        <c:grouping val="standard"/>
        <c:varyColors val="0"/>
        <c:ser>
          <c:idx val="0"/>
          <c:order val="0"/>
          <c:tx>
            <c:v>Ipacpm_Oficial</c:v>
          </c:tx>
          <c:spPr>
            <a:ln w="28575" cap="rnd">
              <a:solidFill>
                <a:schemeClr val="tx1">
                  <a:lumMod val="50000"/>
                  <a:lumOff val="50000"/>
                </a:schemeClr>
              </a:solidFill>
              <a:round/>
            </a:ln>
            <a:effectLst/>
          </c:spPr>
          <c:marker>
            <c:symbol val="none"/>
          </c:marker>
          <c:cat>
            <c:numRef>
              <c:f>Hoja3!$I$2:$I$53</c:f>
              <c:numCache>
                <c:formatCode>mmm\-yy</c:formatCode>
                <c:ptCount val="52"/>
                <c:pt idx="0">
                  <c:v>41153</c:v>
                </c:pt>
                <c:pt idx="1">
                  <c:v>41183</c:v>
                </c:pt>
                <c:pt idx="2">
                  <c:v>41214</c:v>
                </c:pt>
                <c:pt idx="3">
                  <c:v>41244</c:v>
                </c:pt>
                <c:pt idx="4">
                  <c:v>41275</c:v>
                </c:pt>
                <c:pt idx="5">
                  <c:v>41306</c:v>
                </c:pt>
                <c:pt idx="6">
                  <c:v>41334</c:v>
                </c:pt>
                <c:pt idx="7">
                  <c:v>41365</c:v>
                </c:pt>
                <c:pt idx="8">
                  <c:v>41395</c:v>
                </c:pt>
                <c:pt idx="9">
                  <c:v>41426</c:v>
                </c:pt>
                <c:pt idx="10">
                  <c:v>41456</c:v>
                </c:pt>
                <c:pt idx="11">
                  <c:v>41487</c:v>
                </c:pt>
                <c:pt idx="12">
                  <c:v>41518</c:v>
                </c:pt>
                <c:pt idx="13">
                  <c:v>41548</c:v>
                </c:pt>
                <c:pt idx="14">
                  <c:v>41579</c:v>
                </c:pt>
                <c:pt idx="15">
                  <c:v>41609</c:v>
                </c:pt>
                <c:pt idx="16">
                  <c:v>41640</c:v>
                </c:pt>
                <c:pt idx="17">
                  <c:v>41671</c:v>
                </c:pt>
                <c:pt idx="18">
                  <c:v>41699</c:v>
                </c:pt>
                <c:pt idx="19">
                  <c:v>41730</c:v>
                </c:pt>
                <c:pt idx="20">
                  <c:v>41760</c:v>
                </c:pt>
                <c:pt idx="21">
                  <c:v>41791</c:v>
                </c:pt>
                <c:pt idx="22">
                  <c:v>41821</c:v>
                </c:pt>
                <c:pt idx="23">
                  <c:v>41852</c:v>
                </c:pt>
                <c:pt idx="24">
                  <c:v>41883</c:v>
                </c:pt>
                <c:pt idx="25">
                  <c:v>41913</c:v>
                </c:pt>
                <c:pt idx="26">
                  <c:v>41944</c:v>
                </c:pt>
                <c:pt idx="27">
                  <c:v>41974</c:v>
                </c:pt>
                <c:pt idx="28">
                  <c:v>42005</c:v>
                </c:pt>
                <c:pt idx="29">
                  <c:v>42036</c:v>
                </c:pt>
                <c:pt idx="30">
                  <c:v>42064</c:v>
                </c:pt>
                <c:pt idx="31">
                  <c:v>42095</c:v>
                </c:pt>
                <c:pt idx="32">
                  <c:v>42125</c:v>
                </c:pt>
                <c:pt idx="33">
                  <c:v>42156</c:v>
                </c:pt>
                <c:pt idx="34">
                  <c:v>42186</c:v>
                </c:pt>
                <c:pt idx="35">
                  <c:v>42217</c:v>
                </c:pt>
                <c:pt idx="36">
                  <c:v>42248</c:v>
                </c:pt>
                <c:pt idx="37">
                  <c:v>42278</c:v>
                </c:pt>
                <c:pt idx="38">
                  <c:v>42309</c:v>
                </c:pt>
                <c:pt idx="39">
                  <c:v>42339</c:v>
                </c:pt>
                <c:pt idx="40">
                  <c:v>42370</c:v>
                </c:pt>
                <c:pt idx="41">
                  <c:v>42401</c:v>
                </c:pt>
                <c:pt idx="42">
                  <c:v>42430</c:v>
                </c:pt>
                <c:pt idx="43">
                  <c:v>42461</c:v>
                </c:pt>
                <c:pt idx="44">
                  <c:v>42491</c:v>
                </c:pt>
                <c:pt idx="45">
                  <c:v>42522</c:v>
                </c:pt>
                <c:pt idx="46">
                  <c:v>42552</c:v>
                </c:pt>
                <c:pt idx="47">
                  <c:v>42583</c:v>
                </c:pt>
                <c:pt idx="48">
                  <c:v>42614</c:v>
                </c:pt>
                <c:pt idx="49">
                  <c:v>42644</c:v>
                </c:pt>
                <c:pt idx="50">
                  <c:v>42675</c:v>
                </c:pt>
                <c:pt idx="51">
                  <c:v>42705</c:v>
                </c:pt>
              </c:numCache>
            </c:numRef>
          </c:cat>
          <c:val>
            <c:numRef>
              <c:f>Hoja3!$J$2:$J$53</c:f>
              <c:numCache>
                <c:formatCode>General</c:formatCode>
                <c:ptCount val="52"/>
                <c:pt idx="0">
                  <c:v>5805.6450000000013</c:v>
                </c:pt>
                <c:pt idx="1">
                  <c:v>5413.3800000000019</c:v>
                </c:pt>
                <c:pt idx="2">
                  <c:v>5413.380000000001</c:v>
                </c:pt>
                <c:pt idx="3">
                  <c:v>5413.380000000001</c:v>
                </c:pt>
                <c:pt idx="4">
                  <c:v>5365.1323809523819</c:v>
                </c:pt>
                <c:pt idx="5">
                  <c:v>5438.4431578947351</c:v>
                </c:pt>
                <c:pt idx="6">
                  <c:v>5448.8204999999971</c:v>
                </c:pt>
                <c:pt idx="7">
                  <c:v>5357.3200000000006</c:v>
                </c:pt>
                <c:pt idx="8">
                  <c:v>5211.1445454545465</c:v>
                </c:pt>
                <c:pt idx="9">
                  <c:v>5204.3300000000008</c:v>
                </c:pt>
                <c:pt idx="10">
                  <c:v>5343.4263636363648</c:v>
                </c:pt>
                <c:pt idx="11">
                  <c:v>5391.4963636363645</c:v>
                </c:pt>
                <c:pt idx="12">
                  <c:v>5385.271499999998</c:v>
                </c:pt>
                <c:pt idx="13">
                  <c:v>5357.0721739130422</c:v>
                </c:pt>
                <c:pt idx="14">
                  <c:v>5330.411052631579</c:v>
                </c:pt>
                <c:pt idx="15">
                  <c:v>5304.9047619047606</c:v>
                </c:pt>
                <c:pt idx="16">
                  <c:v>5413.4238095238125</c:v>
                </c:pt>
                <c:pt idx="17">
                  <c:v>5418.9100000000017</c:v>
                </c:pt>
                <c:pt idx="18">
                  <c:v>5418.9100000000017</c:v>
                </c:pt>
                <c:pt idx="19">
                  <c:v>5418.9100000000017</c:v>
                </c:pt>
                <c:pt idx="20">
                  <c:v>5418.9100000000017</c:v>
                </c:pt>
                <c:pt idx="21">
                  <c:v>5478.61</c:v>
                </c:pt>
                <c:pt idx="22">
                  <c:v>5501.4299999999967</c:v>
                </c:pt>
                <c:pt idx="23">
                  <c:v>5532.14</c:v>
                </c:pt>
                <c:pt idx="24">
                  <c:v>5532.14</c:v>
                </c:pt>
                <c:pt idx="25">
                  <c:v>5526.61</c:v>
                </c:pt>
                <c:pt idx="26">
                  <c:v>5371.86</c:v>
                </c:pt>
                <c:pt idx="27">
                  <c:v>5221.4499999999989</c:v>
                </c:pt>
                <c:pt idx="28">
                  <c:v>5075.25</c:v>
                </c:pt>
                <c:pt idx="29">
                  <c:v>4701.3294736842099</c:v>
                </c:pt>
                <c:pt idx="30">
                  <c:v>4473.4600000000019</c:v>
                </c:pt>
                <c:pt idx="31">
                  <c:v>4426.4499999999989</c:v>
                </c:pt>
                <c:pt idx="32">
                  <c:v>4473.0399999999991</c:v>
                </c:pt>
                <c:pt idx="33">
                  <c:v>4598.28</c:v>
                </c:pt>
                <c:pt idx="34">
                  <c:v>4598.28</c:v>
                </c:pt>
                <c:pt idx="35">
                  <c:v>4469.53</c:v>
                </c:pt>
                <c:pt idx="36">
                  <c:v>4366.4900000000007</c:v>
                </c:pt>
                <c:pt idx="37">
                  <c:v>4381.1900000000014</c:v>
                </c:pt>
                <c:pt idx="38">
                  <c:v>4258.5200000000023</c:v>
                </c:pt>
                <c:pt idx="39">
                  <c:v>4139.28</c:v>
                </c:pt>
                <c:pt idx="40">
                  <c:v>4023.38</c:v>
                </c:pt>
                <c:pt idx="41">
                  <c:v>3770.8200000000011</c:v>
                </c:pt>
                <c:pt idx="42">
                  <c:v>3770.8200000000015</c:v>
                </c:pt>
                <c:pt idx="43">
                  <c:v>3770.8200000000015</c:v>
                </c:pt>
                <c:pt idx="44">
                  <c:v>3837.0899999999979</c:v>
                </c:pt>
                <c:pt idx="45">
                  <c:v>3837.0899999999979</c:v>
                </c:pt>
                <c:pt idx="46">
                  <c:v>3837.0899999999979</c:v>
                </c:pt>
                <c:pt idx="47">
                  <c:v>3851.1039130434765</c:v>
                </c:pt>
                <c:pt idx="48">
                  <c:v>3944.5299999999997</c:v>
                </c:pt>
                <c:pt idx="49">
                  <c:v>3944.5299999999997</c:v>
                </c:pt>
                <c:pt idx="50">
                  <c:v>3994.0299999999997</c:v>
                </c:pt>
                <c:pt idx="51">
                  <c:v>3999.5299999999997</c:v>
                </c:pt>
              </c:numCache>
            </c:numRef>
          </c:val>
          <c:smooth val="0"/>
          <c:extLst xmlns:c16r2="http://schemas.microsoft.com/office/drawing/2015/06/chart">
            <c:ext xmlns:c16="http://schemas.microsoft.com/office/drawing/2014/chart" uri="{C3380CC4-5D6E-409C-BE32-E72D297353CC}">
              <c16:uniqueId val="{00000000-51C8-DF4D-9EAC-976EB4792D93}"/>
            </c:ext>
          </c:extLst>
        </c:ser>
        <c:ser>
          <c:idx val="1"/>
          <c:order val="1"/>
          <c:tx>
            <c:v>Ipacpm_calculado</c:v>
          </c:tx>
          <c:spPr>
            <a:ln w="28575" cap="rnd">
              <a:solidFill>
                <a:schemeClr val="tx1">
                  <a:lumMod val="95000"/>
                  <a:lumOff val="5000"/>
                </a:schemeClr>
              </a:solidFill>
              <a:round/>
            </a:ln>
            <a:effectLst/>
          </c:spPr>
          <c:marker>
            <c:symbol val="none"/>
          </c:marker>
          <c:cat>
            <c:numRef>
              <c:f>Hoja3!$I$2:$I$53</c:f>
              <c:numCache>
                <c:formatCode>mmm\-yy</c:formatCode>
                <c:ptCount val="52"/>
                <c:pt idx="0">
                  <c:v>41153</c:v>
                </c:pt>
                <c:pt idx="1">
                  <c:v>41183</c:v>
                </c:pt>
                <c:pt idx="2">
                  <c:v>41214</c:v>
                </c:pt>
                <c:pt idx="3">
                  <c:v>41244</c:v>
                </c:pt>
                <c:pt idx="4">
                  <c:v>41275</c:v>
                </c:pt>
                <c:pt idx="5">
                  <c:v>41306</c:v>
                </c:pt>
                <c:pt idx="6">
                  <c:v>41334</c:v>
                </c:pt>
                <c:pt idx="7">
                  <c:v>41365</c:v>
                </c:pt>
                <c:pt idx="8">
                  <c:v>41395</c:v>
                </c:pt>
                <c:pt idx="9">
                  <c:v>41426</c:v>
                </c:pt>
                <c:pt idx="10">
                  <c:v>41456</c:v>
                </c:pt>
                <c:pt idx="11">
                  <c:v>41487</c:v>
                </c:pt>
                <c:pt idx="12">
                  <c:v>41518</c:v>
                </c:pt>
                <c:pt idx="13">
                  <c:v>41548</c:v>
                </c:pt>
                <c:pt idx="14">
                  <c:v>41579</c:v>
                </c:pt>
                <c:pt idx="15">
                  <c:v>41609</c:v>
                </c:pt>
                <c:pt idx="16">
                  <c:v>41640</c:v>
                </c:pt>
                <c:pt idx="17">
                  <c:v>41671</c:v>
                </c:pt>
                <c:pt idx="18">
                  <c:v>41699</c:v>
                </c:pt>
                <c:pt idx="19">
                  <c:v>41730</c:v>
                </c:pt>
                <c:pt idx="20">
                  <c:v>41760</c:v>
                </c:pt>
                <c:pt idx="21">
                  <c:v>41791</c:v>
                </c:pt>
                <c:pt idx="22">
                  <c:v>41821</c:v>
                </c:pt>
                <c:pt idx="23">
                  <c:v>41852</c:v>
                </c:pt>
                <c:pt idx="24">
                  <c:v>41883</c:v>
                </c:pt>
                <c:pt idx="25">
                  <c:v>41913</c:v>
                </c:pt>
                <c:pt idx="26">
                  <c:v>41944</c:v>
                </c:pt>
                <c:pt idx="27">
                  <c:v>41974</c:v>
                </c:pt>
                <c:pt idx="28">
                  <c:v>42005</c:v>
                </c:pt>
                <c:pt idx="29">
                  <c:v>42036</c:v>
                </c:pt>
                <c:pt idx="30">
                  <c:v>42064</c:v>
                </c:pt>
                <c:pt idx="31">
                  <c:v>42095</c:v>
                </c:pt>
                <c:pt idx="32">
                  <c:v>42125</c:v>
                </c:pt>
                <c:pt idx="33">
                  <c:v>42156</c:v>
                </c:pt>
                <c:pt idx="34">
                  <c:v>42186</c:v>
                </c:pt>
                <c:pt idx="35">
                  <c:v>42217</c:v>
                </c:pt>
                <c:pt idx="36">
                  <c:v>42248</c:v>
                </c:pt>
                <c:pt idx="37">
                  <c:v>42278</c:v>
                </c:pt>
                <c:pt idx="38">
                  <c:v>42309</c:v>
                </c:pt>
                <c:pt idx="39">
                  <c:v>42339</c:v>
                </c:pt>
                <c:pt idx="40">
                  <c:v>42370</c:v>
                </c:pt>
                <c:pt idx="41">
                  <c:v>42401</c:v>
                </c:pt>
                <c:pt idx="42">
                  <c:v>42430</c:v>
                </c:pt>
                <c:pt idx="43">
                  <c:v>42461</c:v>
                </c:pt>
                <c:pt idx="44">
                  <c:v>42491</c:v>
                </c:pt>
                <c:pt idx="45">
                  <c:v>42522</c:v>
                </c:pt>
                <c:pt idx="46">
                  <c:v>42552</c:v>
                </c:pt>
                <c:pt idx="47">
                  <c:v>42583</c:v>
                </c:pt>
                <c:pt idx="48">
                  <c:v>42614</c:v>
                </c:pt>
                <c:pt idx="49">
                  <c:v>42644</c:v>
                </c:pt>
                <c:pt idx="50">
                  <c:v>42675</c:v>
                </c:pt>
                <c:pt idx="51">
                  <c:v>42705</c:v>
                </c:pt>
              </c:numCache>
            </c:numRef>
          </c:cat>
          <c:val>
            <c:numRef>
              <c:f>Hoja3!$K$2:$K$53</c:f>
              <c:numCache>
                <c:formatCode>General</c:formatCode>
                <c:ptCount val="52"/>
                <c:pt idx="0">
                  <c:v>5805.6450000000013</c:v>
                </c:pt>
                <c:pt idx="1">
                  <c:v>5413.3800000000019</c:v>
                </c:pt>
                <c:pt idx="2">
                  <c:v>5413.3800000000019</c:v>
                </c:pt>
                <c:pt idx="3">
                  <c:v>5261.8053600000021</c:v>
                </c:pt>
                <c:pt idx="4">
                  <c:v>5261.8053600000021</c:v>
                </c:pt>
                <c:pt idx="5">
                  <c:v>5261.8053600000021</c:v>
                </c:pt>
                <c:pt idx="6">
                  <c:v>5261.8053600000021</c:v>
                </c:pt>
                <c:pt idx="7">
                  <c:v>5304.4384712611873</c:v>
                </c:pt>
                <c:pt idx="8">
                  <c:v>5300.8529864975289</c:v>
                </c:pt>
                <c:pt idx="9">
                  <c:v>5176.9712872051023</c:v>
                </c:pt>
                <c:pt idx="10">
                  <c:v>5176.9712872051023</c:v>
                </c:pt>
                <c:pt idx="11">
                  <c:v>5180.2935580340099</c:v>
                </c:pt>
                <c:pt idx="12">
                  <c:v>5299.2908921331691</c:v>
                </c:pt>
                <c:pt idx="13">
                  <c:v>5373.0347758643629</c:v>
                </c:pt>
                <c:pt idx="14">
                  <c:v>5373.0347758643629</c:v>
                </c:pt>
                <c:pt idx="15">
                  <c:v>5373.0347758643629</c:v>
                </c:pt>
                <c:pt idx="16">
                  <c:v>5373.0347758643629</c:v>
                </c:pt>
                <c:pt idx="17">
                  <c:v>5384.3601672950444</c:v>
                </c:pt>
                <c:pt idx="18">
                  <c:v>5458.6320137277035</c:v>
                </c:pt>
                <c:pt idx="19">
                  <c:v>5508.0115734735482</c:v>
                </c:pt>
                <c:pt idx="20">
                  <c:v>5508.0115734735482</c:v>
                </c:pt>
                <c:pt idx="21">
                  <c:v>5508.0115734735482</c:v>
                </c:pt>
                <c:pt idx="22">
                  <c:v>5531.3808264455438</c:v>
                </c:pt>
                <c:pt idx="23">
                  <c:v>5531.3808264455438</c:v>
                </c:pt>
                <c:pt idx="24">
                  <c:v>5531.3808264455438</c:v>
                </c:pt>
                <c:pt idx="25">
                  <c:v>5531.3808264455438</c:v>
                </c:pt>
                <c:pt idx="26">
                  <c:v>5531.3808264455438</c:v>
                </c:pt>
                <c:pt idx="27">
                  <c:v>5473.9331015680382</c:v>
                </c:pt>
                <c:pt idx="28">
                  <c:v>5320.6629747241332</c:v>
                </c:pt>
                <c:pt idx="29">
                  <c:v>5171.6844114318574</c:v>
                </c:pt>
                <c:pt idx="30">
                  <c:v>5026.8772479117652</c:v>
                </c:pt>
                <c:pt idx="31">
                  <c:v>4886.1246849702356</c:v>
                </c:pt>
                <c:pt idx="32">
                  <c:v>4749.3131937910694</c:v>
                </c:pt>
                <c:pt idx="33">
                  <c:v>4682.5307956046736</c:v>
                </c:pt>
                <c:pt idx="34">
                  <c:v>4753.2565641175233</c:v>
                </c:pt>
                <c:pt idx="35">
                  <c:v>4753.2565641175233</c:v>
                </c:pt>
                <c:pt idx="36">
                  <c:v>4736.1733384297986</c:v>
                </c:pt>
                <c:pt idx="37">
                  <c:v>4603.560484953764</c:v>
                </c:pt>
                <c:pt idx="38">
                  <c:v>4494.0182141090945</c:v>
                </c:pt>
                <c:pt idx="39">
                  <c:v>4425.8235232553807</c:v>
                </c:pt>
                <c:pt idx="40">
                  <c:v>4301.9004646042295</c:v>
                </c:pt>
                <c:pt idx="41">
                  <c:v>4181.4472515953112</c:v>
                </c:pt>
                <c:pt idx="42">
                  <c:v>4064.3667285506422</c:v>
                </c:pt>
                <c:pt idx="43">
                  <c:v>3950.564460151224</c:v>
                </c:pt>
                <c:pt idx="44">
                  <c:v>3868.8875397305096</c:v>
                </c:pt>
                <c:pt idx="45">
                  <c:v>3895.0283210515686</c:v>
                </c:pt>
                <c:pt idx="46">
                  <c:v>3943.8259643678389</c:v>
                </c:pt>
                <c:pt idx="47">
                  <c:v>3965.0821370892354</c:v>
                </c:pt>
                <c:pt idx="48">
                  <c:v>3965.7773584912588</c:v>
                </c:pt>
                <c:pt idx="49">
                  <c:v>4018.5890932918296</c:v>
                </c:pt>
                <c:pt idx="50">
                  <c:v>4097.7189429075643</c:v>
                </c:pt>
                <c:pt idx="51">
                  <c:v>4143.5772359568473</c:v>
                </c:pt>
              </c:numCache>
            </c:numRef>
          </c:val>
          <c:smooth val="0"/>
          <c:extLst xmlns:c16r2="http://schemas.microsoft.com/office/drawing/2015/06/chart">
            <c:ext xmlns:c16="http://schemas.microsoft.com/office/drawing/2014/chart" uri="{C3380CC4-5D6E-409C-BE32-E72D297353CC}">
              <c16:uniqueId val="{00000001-51C8-DF4D-9EAC-976EB4792D93}"/>
            </c:ext>
          </c:extLst>
        </c:ser>
        <c:dLbls>
          <c:showLegendKey val="0"/>
          <c:showVal val="0"/>
          <c:showCatName val="0"/>
          <c:showSerName val="0"/>
          <c:showPercent val="0"/>
          <c:showBubbleSize val="0"/>
        </c:dLbls>
        <c:marker val="1"/>
        <c:smooth val="0"/>
        <c:axId val="105484672"/>
        <c:axId val="105486592"/>
      </c:lineChart>
      <c:dateAx>
        <c:axId val="1054846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a:t>Meses</a:t>
                </a:r>
              </a:p>
            </c:rich>
          </c:tx>
          <c:overlay val="0"/>
          <c:spPr>
            <a:noFill/>
            <a:ln>
              <a:noFill/>
            </a:ln>
            <a:effectLst/>
          </c:spPr>
        </c:title>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05486592"/>
        <c:crosses val="autoZero"/>
        <c:auto val="1"/>
        <c:lblOffset val="100"/>
        <c:baseTimeUnit val="months"/>
      </c:dateAx>
      <c:valAx>
        <c:axId val="1054865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a:t>Pesos</a:t>
                </a:r>
                <a:r>
                  <a:rPr lang="es-ES" baseline="0"/>
                  <a:t> colombianos</a:t>
                </a:r>
                <a:endParaRPr lang="es-ES"/>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05484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6A2B3-C5EB-415E-A063-FEF0051E4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47</Pages>
  <Words>13379</Words>
  <Characters>73589</Characters>
  <Application>Microsoft Office Word</Application>
  <DocSecurity>0</DocSecurity>
  <Lines>613</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Sandra Liliana Ortiz Nova</cp:lastModifiedBy>
  <cp:revision>4</cp:revision>
  <cp:lastPrinted>2019-07-23T15:25:00Z</cp:lastPrinted>
  <dcterms:created xsi:type="dcterms:W3CDTF">2019-07-20T20:10:00Z</dcterms:created>
  <dcterms:modified xsi:type="dcterms:W3CDTF">2019-07-23T15:28:00Z</dcterms:modified>
</cp:coreProperties>
</file>